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CF" w:rsidRPr="00340E04" w:rsidRDefault="00CB6ECF" w:rsidP="00CB6ECF">
      <w:pPr>
        <w:pStyle w:val="ConsNonformat"/>
        <w:widowControl/>
        <w:spacing w:beforeLines="60" w:before="144" w:afterLines="60" w:after="144"/>
        <w:ind w:right="-1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4D48D7">
        <w:rPr>
          <w:rFonts w:ascii="Times New Roman" w:hAnsi="Times New Roman" w:cs="Times New Roman"/>
          <w:b/>
          <w:sz w:val="24"/>
          <w:szCs w:val="22"/>
        </w:rPr>
        <w:t>ПРОТОКОЛ №</w:t>
      </w:r>
      <w:r w:rsidRPr="00340E04"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="005878BD">
        <w:rPr>
          <w:rFonts w:ascii="Times New Roman" w:hAnsi="Times New Roman" w:cs="Times New Roman"/>
          <w:b/>
          <w:sz w:val="24"/>
          <w:szCs w:val="22"/>
        </w:rPr>
        <w:t>10</w:t>
      </w:r>
    </w:p>
    <w:p w:rsidR="00CB6ECF" w:rsidRPr="00EA4584" w:rsidRDefault="00CB6ECF" w:rsidP="00CB6ECF">
      <w:pPr>
        <w:spacing w:beforeLines="60" w:before="144" w:afterLines="60" w:after="144"/>
        <w:ind w:left="567"/>
        <w:jc w:val="center"/>
        <w:rPr>
          <w:b/>
        </w:rPr>
      </w:pPr>
      <w:r w:rsidRPr="00EA4584">
        <w:rPr>
          <w:b/>
        </w:rPr>
        <w:t xml:space="preserve">Заседания единой комиссии по размещению закупок для нужд </w:t>
      </w:r>
    </w:p>
    <w:p w:rsidR="00CB6ECF" w:rsidRPr="00EA4584" w:rsidRDefault="00CB6ECF" w:rsidP="00CB6ECF">
      <w:pPr>
        <w:spacing w:beforeLines="60" w:before="144" w:afterLines="60" w:after="144"/>
        <w:ind w:left="567"/>
        <w:jc w:val="center"/>
        <w:rPr>
          <w:b/>
        </w:rPr>
      </w:pPr>
      <w:r w:rsidRPr="00EA4584">
        <w:rPr>
          <w:b/>
        </w:rPr>
        <w:t xml:space="preserve">АО «Югорская </w:t>
      </w:r>
      <w:r w:rsidR="004A0B6C">
        <w:rPr>
          <w:b/>
        </w:rPr>
        <w:t>территориальная энергетическая</w:t>
      </w:r>
      <w:r w:rsidRPr="00EA4584">
        <w:rPr>
          <w:b/>
        </w:rPr>
        <w:t xml:space="preserve"> компания»</w:t>
      </w:r>
    </w:p>
    <w:p w:rsidR="00CB6ECF" w:rsidRPr="00EA4584" w:rsidRDefault="00CB6ECF" w:rsidP="00CB6ECF">
      <w:pPr>
        <w:pStyle w:val="ConsNonformat"/>
        <w:widowControl/>
        <w:spacing w:beforeLines="60" w:before="144" w:afterLines="60" w:after="144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ECF" w:rsidRPr="00EA4584" w:rsidRDefault="005878BD" w:rsidP="00CB6ECF">
      <w:pPr>
        <w:pStyle w:val="ConsNonformat"/>
        <w:widowControl/>
        <w:spacing w:beforeLines="60" w:before="144"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06 июня 2016</w:t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CF" w:rsidRPr="00EA45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г. Ханты-Мансийск</w:t>
      </w:r>
    </w:p>
    <w:p w:rsidR="00CB6ECF" w:rsidRPr="00EA4584" w:rsidRDefault="00CB6ECF" w:rsidP="00CB6ECF">
      <w:pPr>
        <w:pStyle w:val="ConsNonformat"/>
        <w:widowControl/>
        <w:spacing w:beforeLines="60" w:before="144"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584">
        <w:rPr>
          <w:rFonts w:ascii="Times New Roman" w:hAnsi="Times New Roman" w:cs="Times New Roman"/>
          <w:b/>
          <w:i/>
          <w:sz w:val="24"/>
          <w:szCs w:val="24"/>
        </w:rPr>
        <w:t>Время начала: 12:00 ч.</w:t>
      </w:r>
    </w:p>
    <w:p w:rsidR="00CB6ECF" w:rsidRPr="00EA4584" w:rsidRDefault="00CB6ECF" w:rsidP="00CB6ECF">
      <w:pPr>
        <w:pStyle w:val="ConsNonformat"/>
        <w:widowControl/>
        <w:spacing w:beforeLines="60" w:before="144"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ECF" w:rsidRPr="00EA4584" w:rsidRDefault="00CB6ECF" w:rsidP="00CB6ECF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>Форма проведения заседания:</w:t>
      </w:r>
      <w:r w:rsidRPr="00EA4584">
        <w:rPr>
          <w:rFonts w:ascii="Times New Roman" w:hAnsi="Times New Roman"/>
          <w:sz w:val="24"/>
          <w:szCs w:val="24"/>
        </w:rPr>
        <w:t xml:space="preserve"> очное (совместное присутствие).</w:t>
      </w:r>
    </w:p>
    <w:p w:rsidR="00CB6ECF" w:rsidRPr="00EA4584" w:rsidRDefault="00CB6ECF" w:rsidP="00CB6ECF">
      <w:pPr>
        <w:spacing w:beforeLines="60" w:before="144" w:afterLines="60" w:after="144"/>
        <w:jc w:val="both"/>
      </w:pPr>
      <w:r w:rsidRPr="00EA4584">
        <w:rPr>
          <w:b/>
        </w:rPr>
        <w:t>Место подведения итогов голосования</w:t>
      </w:r>
      <w:r w:rsidRPr="00EA4584">
        <w:t xml:space="preserve">: г. Ханты-Мансийск, ул. Ленина, д. 52/1. </w:t>
      </w:r>
    </w:p>
    <w:p w:rsidR="00CB6ECF" w:rsidRPr="00EA4584" w:rsidRDefault="00CB6ECF" w:rsidP="00CB6ECF">
      <w:pPr>
        <w:spacing w:beforeLines="60" w:before="144" w:afterLines="60" w:after="144"/>
        <w:jc w:val="both"/>
      </w:pPr>
      <w:r w:rsidRPr="00EA4584">
        <w:rPr>
          <w:b/>
        </w:rPr>
        <w:t>Общее количество членов Единой комиссии</w:t>
      </w:r>
      <w:r w:rsidRPr="00EA4584">
        <w:t xml:space="preserve"> – 5 (пять).</w:t>
      </w:r>
    </w:p>
    <w:p w:rsidR="00CB6ECF" w:rsidRPr="00EA4584" w:rsidRDefault="00CB6ECF" w:rsidP="00CB6ECF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>Члены Единой комиссии, принявшие участие в заседании</w:t>
      </w:r>
      <w:r w:rsidRPr="00EA4584">
        <w:rPr>
          <w:rFonts w:ascii="Times New Roman" w:hAnsi="Times New Roman"/>
          <w:sz w:val="24"/>
          <w:szCs w:val="24"/>
        </w:rPr>
        <w:t>:</w:t>
      </w:r>
    </w:p>
    <w:p w:rsidR="00CB6ECF" w:rsidRDefault="00CB6ECF" w:rsidP="00CB6ECF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 w:rsidR="00792B65"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 w:rsidR="00792B65">
        <w:rPr>
          <w:rFonts w:ascii="Times New Roman" w:hAnsi="Times New Roman"/>
          <w:sz w:val="24"/>
          <w:szCs w:val="24"/>
        </w:rPr>
        <w:t>Цускман</w:t>
      </w:r>
      <w:proofErr w:type="spellEnd"/>
      <w:r w:rsidRPr="00EA4584">
        <w:rPr>
          <w:rFonts w:ascii="Times New Roman" w:hAnsi="Times New Roman"/>
          <w:sz w:val="24"/>
          <w:szCs w:val="24"/>
        </w:rPr>
        <w:t>;</w:t>
      </w:r>
    </w:p>
    <w:p w:rsidR="00CB6ECF" w:rsidRDefault="005878BD" w:rsidP="00CB6ECF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664A">
        <w:rPr>
          <w:rFonts w:ascii="Times New Roman" w:hAnsi="Times New Roman"/>
          <w:sz w:val="24"/>
          <w:szCs w:val="24"/>
        </w:rPr>
        <w:t>Е.В. Мищенко</w:t>
      </w:r>
      <w:r>
        <w:rPr>
          <w:rFonts w:ascii="Times New Roman" w:hAnsi="Times New Roman"/>
          <w:sz w:val="24"/>
          <w:szCs w:val="24"/>
        </w:rPr>
        <w:t>;</w:t>
      </w:r>
    </w:p>
    <w:p w:rsidR="00563C27" w:rsidRPr="00EA4584" w:rsidRDefault="00563C27" w:rsidP="00CB6ECF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А.Г. Червяков;</w:t>
      </w:r>
    </w:p>
    <w:p w:rsidR="00CB6ECF" w:rsidRPr="006E30CC" w:rsidRDefault="00CB6ECF" w:rsidP="00CB6ECF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 w:rsidR="00792B65">
        <w:rPr>
          <w:rFonts w:ascii="Times New Roman" w:hAnsi="Times New Roman"/>
          <w:sz w:val="24"/>
          <w:szCs w:val="24"/>
        </w:rPr>
        <w:t>Л.В. Щелконогова</w:t>
      </w:r>
      <w:r>
        <w:rPr>
          <w:rFonts w:ascii="Times New Roman" w:hAnsi="Times New Roman"/>
          <w:sz w:val="24"/>
          <w:szCs w:val="24"/>
        </w:rPr>
        <w:t>.</w:t>
      </w:r>
    </w:p>
    <w:p w:rsidR="00CB6ECF" w:rsidRPr="00EA4584" w:rsidRDefault="00CB6ECF" w:rsidP="00CB6ECF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Кворум </w:t>
      </w:r>
      <w:r w:rsidRPr="00EA4584">
        <w:rPr>
          <w:rFonts w:ascii="Times New Roman" w:hAnsi="Times New Roman"/>
          <w:sz w:val="24"/>
          <w:szCs w:val="24"/>
        </w:rPr>
        <w:t xml:space="preserve">для проведения заседания имеется. </w:t>
      </w:r>
    </w:p>
    <w:p w:rsidR="00CB6ECF" w:rsidRDefault="00CB6ECF" w:rsidP="00CB6ECF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Председатель Единой комиссии:</w:t>
      </w:r>
      <w:r w:rsidRPr="00EA4584">
        <w:rPr>
          <w:rFonts w:ascii="Times New Roman" w:hAnsi="Times New Roman"/>
          <w:sz w:val="24"/>
          <w:szCs w:val="24"/>
        </w:rPr>
        <w:t xml:space="preserve"> </w:t>
      </w:r>
      <w:r w:rsidR="00792B65"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 w:rsidR="00792B65">
        <w:rPr>
          <w:rFonts w:ascii="Times New Roman" w:hAnsi="Times New Roman"/>
          <w:sz w:val="24"/>
          <w:szCs w:val="24"/>
        </w:rPr>
        <w:t>Цускман</w:t>
      </w:r>
      <w:proofErr w:type="spellEnd"/>
    </w:p>
    <w:p w:rsidR="00CB6ECF" w:rsidRDefault="00CB6ECF" w:rsidP="00CB6ECF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Секретарь:</w:t>
      </w:r>
      <w:r>
        <w:rPr>
          <w:rFonts w:ascii="Times New Roman" w:hAnsi="Times New Roman"/>
          <w:sz w:val="24"/>
          <w:szCs w:val="24"/>
        </w:rPr>
        <w:t xml:space="preserve"> </w:t>
      </w:r>
      <w:r w:rsidR="00792B65">
        <w:rPr>
          <w:rFonts w:ascii="Times New Roman" w:hAnsi="Times New Roman"/>
          <w:sz w:val="24"/>
          <w:szCs w:val="24"/>
        </w:rPr>
        <w:t>А.А. Пятахин</w:t>
      </w:r>
    </w:p>
    <w:p w:rsidR="00CB6ECF" w:rsidRPr="00EA4584" w:rsidRDefault="00CB6ECF" w:rsidP="00CB6ECF">
      <w:pPr>
        <w:pStyle w:val="ConsNormal"/>
        <w:widowControl/>
        <w:spacing w:beforeLines="60" w:before="144" w:afterLines="60" w:after="14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>Повестка дня:</w:t>
      </w:r>
    </w:p>
    <w:p w:rsidR="00CB6ECF" w:rsidRPr="00CB6ECF" w:rsidRDefault="00CB6ECF" w:rsidP="00CB6ECF">
      <w:pPr>
        <w:shd w:val="clear" w:color="auto" w:fill="FFFFFF"/>
        <w:jc w:val="both"/>
      </w:pPr>
      <w:r w:rsidRPr="00BF6C0F">
        <w:rPr>
          <w:rFonts w:eastAsia="Calibri"/>
          <w:color w:val="000000"/>
          <w:lang w:eastAsia="en-US"/>
        </w:rPr>
        <w:t>1. Рассмотрение</w:t>
      </w:r>
      <w:r w:rsidRPr="00CB6ECF">
        <w:t xml:space="preserve">, оценка и подведение итогов по открытому конкурсу на право заключения договора оказания услуг по </w:t>
      </w:r>
      <w:r w:rsidR="00792B65">
        <w:t xml:space="preserve">проведению обязательного ежегодного аудита финансовой (бухгалтерской) отчетности по итогам </w:t>
      </w:r>
      <w:r w:rsidR="005878BD">
        <w:t>2016</w:t>
      </w:r>
      <w:r w:rsidR="00792B65">
        <w:t xml:space="preserve"> финансового года Акционерного общества «Югорская территориальная энергетическая компания».</w:t>
      </w:r>
      <w:r w:rsidRPr="00CB6ECF">
        <w:t xml:space="preserve"> Реестровый номер: </w:t>
      </w:r>
      <w:r w:rsidR="005878BD">
        <w:t>4</w:t>
      </w:r>
      <w:r w:rsidRPr="00CB6ECF">
        <w:t>-20</w:t>
      </w:r>
      <w:r w:rsidR="005878BD">
        <w:t>16</w:t>
      </w:r>
      <w:r w:rsidR="00CF25AF">
        <w:t>.</w:t>
      </w:r>
    </w:p>
    <w:p w:rsidR="00CB6ECF" w:rsidRDefault="00CB6ECF" w:rsidP="00CB6ECF"/>
    <w:p w:rsidR="00CB6ECF" w:rsidRPr="00920C6A" w:rsidRDefault="00920C6A" w:rsidP="00BE2373">
      <w:pPr>
        <w:ind w:firstLine="708"/>
        <w:rPr>
          <w:b/>
          <w:szCs w:val="22"/>
          <w:u w:val="single"/>
        </w:rPr>
      </w:pPr>
      <w:r w:rsidRPr="00920C6A">
        <w:rPr>
          <w:b/>
          <w:szCs w:val="22"/>
          <w:u w:val="single"/>
        </w:rPr>
        <w:t>По первому вопросу повестки дня:</w:t>
      </w:r>
    </w:p>
    <w:p w:rsidR="00BE2373" w:rsidRDefault="00BE2373" w:rsidP="00920C6A">
      <w:pPr>
        <w:shd w:val="clear" w:color="auto" w:fill="FFFFFF"/>
        <w:jc w:val="both"/>
        <w:rPr>
          <w:rFonts w:eastAsia="Calibri"/>
          <w:color w:val="000000"/>
          <w:lang w:eastAsia="en-US"/>
        </w:rPr>
      </w:pPr>
    </w:p>
    <w:p w:rsidR="00920C6A" w:rsidRPr="00CB6ECF" w:rsidRDefault="00920C6A" w:rsidP="00920C6A">
      <w:pPr>
        <w:shd w:val="clear" w:color="auto" w:fill="FFFFFF"/>
        <w:jc w:val="both"/>
      </w:pPr>
      <w:r w:rsidRPr="00BF6C0F">
        <w:rPr>
          <w:rFonts w:eastAsia="Calibri"/>
          <w:color w:val="000000"/>
          <w:lang w:eastAsia="en-US"/>
        </w:rPr>
        <w:t xml:space="preserve">1. </w:t>
      </w:r>
      <w:r w:rsidR="00792B65" w:rsidRPr="00BF6C0F">
        <w:rPr>
          <w:rFonts w:eastAsia="Calibri"/>
          <w:color w:val="000000"/>
          <w:lang w:eastAsia="en-US"/>
        </w:rPr>
        <w:t>Рассмотрение</w:t>
      </w:r>
      <w:r w:rsidR="00792B65" w:rsidRPr="00CB6ECF">
        <w:t xml:space="preserve">, оценка и подведение итогов по открытому конкурсу на право заключения договора оказания услуг по </w:t>
      </w:r>
      <w:r w:rsidR="00792B65">
        <w:t xml:space="preserve">проведению обязательного ежегодного аудита финансовой (бухгалтерской) отчетности по итогам </w:t>
      </w:r>
      <w:r w:rsidR="005878BD">
        <w:t>2016</w:t>
      </w:r>
      <w:r w:rsidR="00792B65">
        <w:t xml:space="preserve"> финансового года Акционерного общества «Югорская территориальная энергетическая компания».</w:t>
      </w:r>
      <w:r w:rsidR="00792B65" w:rsidRPr="00CB6ECF">
        <w:t xml:space="preserve"> Реестровый номер: </w:t>
      </w:r>
      <w:r w:rsidR="005878BD">
        <w:t>4</w:t>
      </w:r>
      <w:r w:rsidR="00792B65" w:rsidRPr="00CB6ECF">
        <w:t>-20</w:t>
      </w:r>
      <w:r w:rsidR="005878BD">
        <w:t>16</w:t>
      </w:r>
      <w:r w:rsidR="00CF25AF">
        <w:t>.</w:t>
      </w:r>
    </w:p>
    <w:p w:rsidR="00920C6A" w:rsidRDefault="00920C6A" w:rsidP="00CB6ECF"/>
    <w:p w:rsidR="00920C6A" w:rsidRPr="00920C6A" w:rsidRDefault="00920C6A" w:rsidP="00920C6A">
      <w:pPr>
        <w:pStyle w:val="a7"/>
        <w:tabs>
          <w:tab w:val="left" w:pos="993"/>
        </w:tabs>
        <w:ind w:left="0"/>
        <w:contextualSpacing/>
        <w:jc w:val="both"/>
        <w:rPr>
          <w:lang w:val="ru-RU"/>
        </w:rPr>
      </w:pPr>
      <w:r>
        <w:rPr>
          <w:lang w:val="ru-RU"/>
        </w:rPr>
        <w:t>1</w:t>
      </w:r>
      <w:r w:rsidRPr="00920C6A">
        <w:rPr>
          <w:lang w:val="ru-RU"/>
        </w:rPr>
        <w:t xml:space="preserve">.1. </w:t>
      </w:r>
      <w:r w:rsidRPr="00920C6A">
        <w:t xml:space="preserve">Общее количество заявок, поданных на участие в конкурсе: </w:t>
      </w:r>
      <w:r w:rsidR="005878BD">
        <w:rPr>
          <w:lang w:val="ru-RU"/>
        </w:rPr>
        <w:t>3</w:t>
      </w:r>
      <w:r w:rsidRPr="00920C6A">
        <w:t xml:space="preserve"> (</w:t>
      </w:r>
      <w:r w:rsidR="005878BD">
        <w:rPr>
          <w:lang w:val="ru-RU"/>
        </w:rPr>
        <w:t>три</w:t>
      </w:r>
      <w:r w:rsidRPr="00920C6A">
        <w:t>) заяв</w:t>
      </w:r>
      <w:r w:rsidRPr="00920C6A">
        <w:rPr>
          <w:lang w:val="ru-RU"/>
        </w:rPr>
        <w:t>ки</w:t>
      </w:r>
    </w:p>
    <w:p w:rsidR="00920C6A" w:rsidRPr="00920C6A" w:rsidRDefault="00920C6A" w:rsidP="00920C6A">
      <w:pPr>
        <w:tabs>
          <w:tab w:val="left" w:pos="993"/>
        </w:tabs>
        <w:ind w:firstLine="567"/>
        <w:contextualSpacing/>
        <w:jc w:val="both"/>
        <w:rPr>
          <w:i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920C6A" w:rsidRPr="00920C6A" w:rsidTr="00BE2373">
        <w:trPr>
          <w:trHeight w:val="770"/>
        </w:trPr>
        <w:tc>
          <w:tcPr>
            <w:tcW w:w="709" w:type="dxa"/>
          </w:tcPr>
          <w:p w:rsidR="00920C6A" w:rsidRPr="00920C6A" w:rsidRDefault="00920C6A" w:rsidP="008461A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 w:rsidRPr="00920C6A">
              <w:rPr>
                <w:b/>
                <w:snapToGrid w:val="0"/>
              </w:rPr>
              <w:t>№</w:t>
            </w:r>
          </w:p>
          <w:p w:rsidR="00920C6A" w:rsidRPr="00920C6A" w:rsidRDefault="00920C6A" w:rsidP="008461A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proofErr w:type="gramStart"/>
            <w:r w:rsidRPr="00920C6A">
              <w:rPr>
                <w:b/>
                <w:snapToGrid w:val="0"/>
              </w:rPr>
              <w:t>п</w:t>
            </w:r>
            <w:proofErr w:type="gramEnd"/>
            <w:r w:rsidRPr="00920C6A">
              <w:rPr>
                <w:b/>
                <w:snapToGrid w:val="0"/>
              </w:rPr>
              <w:t>/п</w:t>
            </w:r>
          </w:p>
        </w:tc>
        <w:tc>
          <w:tcPr>
            <w:tcW w:w="1985" w:type="dxa"/>
          </w:tcPr>
          <w:p w:rsidR="00920C6A" w:rsidRPr="00920C6A" w:rsidRDefault="00920C6A" w:rsidP="008461A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 w:rsidRPr="00920C6A">
              <w:rPr>
                <w:b/>
                <w:snapToGrid w:val="0"/>
              </w:rPr>
              <w:t>Регистрационный номер</w:t>
            </w:r>
          </w:p>
        </w:tc>
        <w:tc>
          <w:tcPr>
            <w:tcW w:w="6804" w:type="dxa"/>
          </w:tcPr>
          <w:p w:rsidR="00920C6A" w:rsidRPr="00920C6A" w:rsidRDefault="00920C6A" w:rsidP="008461A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 w:rsidRPr="00920C6A">
              <w:rPr>
                <w:b/>
                <w:snapToGrid w:val="0"/>
              </w:rPr>
              <w:t>Наименование участника закупки</w:t>
            </w:r>
          </w:p>
        </w:tc>
      </w:tr>
      <w:tr w:rsidR="00E505E3" w:rsidRPr="00920C6A" w:rsidTr="00BE2373">
        <w:trPr>
          <w:trHeight w:val="466"/>
        </w:trPr>
        <w:tc>
          <w:tcPr>
            <w:tcW w:w="709" w:type="dxa"/>
          </w:tcPr>
          <w:p w:rsidR="00E505E3" w:rsidRPr="00920C6A" w:rsidRDefault="00E505E3" w:rsidP="008461A6">
            <w:pPr>
              <w:jc w:val="center"/>
            </w:pPr>
            <w:r w:rsidRPr="00920C6A">
              <w:t>1.</w:t>
            </w:r>
          </w:p>
        </w:tc>
        <w:tc>
          <w:tcPr>
            <w:tcW w:w="1985" w:type="dxa"/>
          </w:tcPr>
          <w:p w:rsidR="00E505E3" w:rsidRPr="00920C6A" w:rsidRDefault="00E505E3" w:rsidP="008461A6">
            <w:pPr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 w:rsidRPr="00920C6A">
              <w:rPr>
                <w:b/>
                <w:snapToGrid w:val="0"/>
              </w:rPr>
              <w:t>1</w:t>
            </w:r>
          </w:p>
        </w:tc>
        <w:tc>
          <w:tcPr>
            <w:tcW w:w="6804" w:type="dxa"/>
            <w:vAlign w:val="center"/>
          </w:tcPr>
          <w:p w:rsidR="00E505E3" w:rsidRPr="004616E3" w:rsidRDefault="00F755A5" w:rsidP="00F755A5">
            <w:pPr>
              <w:contextualSpacing/>
              <w:jc w:val="both"/>
            </w:pPr>
            <w:r>
              <w:rPr>
                <w:b/>
              </w:rPr>
              <w:t>ООО «РАСТАМ-Аудит»</w:t>
            </w:r>
            <w:r w:rsidR="00E505E3" w:rsidRPr="004616E3">
              <w:rPr>
                <w:b/>
              </w:rPr>
              <w:t xml:space="preserve">, </w:t>
            </w:r>
            <w:r>
              <w:t>625048</w:t>
            </w:r>
            <w:r w:rsidR="00E505E3" w:rsidRPr="004616E3">
              <w:t>, РФ,</w:t>
            </w:r>
            <w:r w:rsidR="002E5344">
              <w:t xml:space="preserve"> </w:t>
            </w:r>
            <w:r>
              <w:t>Тюменская область</w:t>
            </w:r>
            <w:r w:rsidR="002E5344">
              <w:t>,</w:t>
            </w:r>
            <w:r w:rsidR="00E505E3" w:rsidRPr="004616E3">
              <w:t xml:space="preserve"> </w:t>
            </w:r>
            <w:r>
              <w:t>г</w:t>
            </w:r>
            <w:r w:rsidR="00E505E3" w:rsidRPr="004616E3">
              <w:t xml:space="preserve">. </w:t>
            </w:r>
            <w:r>
              <w:t>Тюмень</w:t>
            </w:r>
            <w:r w:rsidR="00E505E3" w:rsidRPr="004616E3">
              <w:t xml:space="preserve">, </w:t>
            </w:r>
            <w:r>
              <w:t>ул. Шиллера, д. 34, корпус 1/1</w:t>
            </w:r>
          </w:p>
        </w:tc>
      </w:tr>
      <w:tr w:rsidR="00E505E3" w:rsidRPr="00920C6A" w:rsidTr="00BE2373">
        <w:trPr>
          <w:trHeight w:val="466"/>
        </w:trPr>
        <w:tc>
          <w:tcPr>
            <w:tcW w:w="709" w:type="dxa"/>
          </w:tcPr>
          <w:p w:rsidR="00E505E3" w:rsidRPr="00920C6A" w:rsidRDefault="00E505E3" w:rsidP="008461A6">
            <w:pPr>
              <w:jc w:val="center"/>
            </w:pPr>
            <w:r w:rsidRPr="00920C6A">
              <w:t>2.</w:t>
            </w:r>
          </w:p>
        </w:tc>
        <w:tc>
          <w:tcPr>
            <w:tcW w:w="1985" w:type="dxa"/>
          </w:tcPr>
          <w:p w:rsidR="00E505E3" w:rsidRPr="00920C6A" w:rsidRDefault="00E505E3" w:rsidP="008461A6">
            <w:pPr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 w:rsidRPr="00920C6A">
              <w:rPr>
                <w:b/>
                <w:snapToGrid w:val="0"/>
              </w:rPr>
              <w:t>2</w:t>
            </w:r>
          </w:p>
        </w:tc>
        <w:tc>
          <w:tcPr>
            <w:tcW w:w="6804" w:type="dxa"/>
          </w:tcPr>
          <w:p w:rsidR="00E505E3" w:rsidRPr="004616E3" w:rsidRDefault="00F755A5" w:rsidP="00F755A5">
            <w:pPr>
              <w:tabs>
                <w:tab w:val="left" w:pos="6461"/>
              </w:tabs>
              <w:ind w:right="884"/>
              <w:rPr>
                <w:b/>
              </w:rPr>
            </w:pPr>
            <w:r>
              <w:rPr>
                <w:b/>
              </w:rPr>
              <w:t>ООО «Центр аудиторских услуг»</w:t>
            </w:r>
            <w:r w:rsidR="00E505E3" w:rsidRPr="004616E3">
              <w:rPr>
                <w:b/>
              </w:rPr>
              <w:t xml:space="preserve">, </w:t>
            </w:r>
            <w:r>
              <w:t>628611</w:t>
            </w:r>
            <w:r w:rsidR="00E505E3" w:rsidRPr="004616E3">
              <w:t>, РФ,</w:t>
            </w:r>
            <w:r>
              <w:t xml:space="preserve"> ХМАО-Югра, </w:t>
            </w:r>
            <w:r w:rsidR="002E5344">
              <w:t xml:space="preserve">г. </w:t>
            </w:r>
            <w:r>
              <w:t>Нижневартовск</w:t>
            </w:r>
            <w:r w:rsidR="002E5344">
              <w:t xml:space="preserve">, </w:t>
            </w:r>
            <w:r>
              <w:t>ул</w:t>
            </w:r>
            <w:r w:rsidR="002E5344">
              <w:t xml:space="preserve">. </w:t>
            </w:r>
            <w:r>
              <w:t>Чапаева</w:t>
            </w:r>
            <w:r w:rsidR="002E5344">
              <w:t xml:space="preserve">, д. </w:t>
            </w:r>
            <w:r>
              <w:t>3</w:t>
            </w:r>
          </w:p>
        </w:tc>
      </w:tr>
      <w:tr w:rsidR="00F755A5" w:rsidRPr="00920C6A" w:rsidTr="00BE2373">
        <w:trPr>
          <w:trHeight w:val="466"/>
        </w:trPr>
        <w:tc>
          <w:tcPr>
            <w:tcW w:w="709" w:type="dxa"/>
          </w:tcPr>
          <w:p w:rsidR="00F755A5" w:rsidRPr="00920C6A" w:rsidRDefault="00F755A5" w:rsidP="008461A6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F755A5" w:rsidRPr="00920C6A" w:rsidRDefault="00F755A5" w:rsidP="008461A6">
            <w:pPr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6804" w:type="dxa"/>
          </w:tcPr>
          <w:p w:rsidR="00F755A5" w:rsidRPr="00F755A5" w:rsidRDefault="00F755A5" w:rsidP="00F755A5">
            <w:pPr>
              <w:tabs>
                <w:tab w:val="left" w:pos="6461"/>
              </w:tabs>
              <w:ind w:right="884"/>
            </w:pPr>
            <w:r>
              <w:rPr>
                <w:b/>
              </w:rPr>
              <w:t xml:space="preserve">ООО «Фирма </w:t>
            </w:r>
            <w:proofErr w:type="spellStart"/>
            <w:r>
              <w:rPr>
                <w:b/>
              </w:rPr>
              <w:t>Аудитинформ</w:t>
            </w:r>
            <w:proofErr w:type="spellEnd"/>
            <w:r>
              <w:rPr>
                <w:b/>
              </w:rPr>
              <w:t xml:space="preserve">», </w:t>
            </w:r>
            <w:r>
              <w:t>644006, Омская область, г. Омск, проспект Карла Маркса, д. 43, корпус</w:t>
            </w:r>
            <w:proofErr w:type="gramStart"/>
            <w:r>
              <w:t xml:space="preserve"> </w:t>
            </w:r>
            <w:r>
              <w:lastRenderedPageBreak/>
              <w:t>В</w:t>
            </w:r>
            <w:proofErr w:type="gramEnd"/>
            <w:r>
              <w:t>, офис 103</w:t>
            </w:r>
          </w:p>
        </w:tc>
      </w:tr>
    </w:tbl>
    <w:p w:rsidR="00792B65" w:rsidRDefault="00792B65" w:rsidP="00920C6A">
      <w:pPr>
        <w:tabs>
          <w:tab w:val="left" w:pos="426"/>
        </w:tabs>
        <w:contextualSpacing/>
        <w:jc w:val="both"/>
        <w:outlineLvl w:val="0"/>
      </w:pPr>
    </w:p>
    <w:p w:rsidR="00920C6A" w:rsidRPr="00920C6A" w:rsidRDefault="00920C6A" w:rsidP="00920C6A">
      <w:pPr>
        <w:tabs>
          <w:tab w:val="left" w:pos="426"/>
        </w:tabs>
        <w:contextualSpacing/>
        <w:jc w:val="both"/>
        <w:outlineLvl w:val="0"/>
      </w:pPr>
      <w:r>
        <w:t>1</w:t>
      </w:r>
      <w:r w:rsidRPr="00920C6A">
        <w:t xml:space="preserve">.2. По итогам рассмотрения заявок на участие в конкурсе путём голосования приняты следующие решения: </w:t>
      </w:r>
    </w:p>
    <w:p w:rsidR="00920C6A" w:rsidRPr="00920C6A" w:rsidRDefault="00920C6A" w:rsidP="00920C6A">
      <w:pPr>
        <w:tabs>
          <w:tab w:val="left" w:pos="426"/>
        </w:tabs>
        <w:contextualSpacing/>
        <w:jc w:val="both"/>
        <w:outlineLvl w:val="0"/>
      </w:pPr>
    </w:p>
    <w:p w:rsidR="00920C6A" w:rsidRDefault="00920C6A" w:rsidP="00322559">
      <w:pPr>
        <w:contextualSpacing/>
        <w:jc w:val="both"/>
      </w:pPr>
      <w:r>
        <w:t>1</w:t>
      </w:r>
      <w:r w:rsidRPr="00920C6A">
        <w:t xml:space="preserve">.2.1. Решение </w:t>
      </w:r>
      <w:r w:rsidRPr="00920C6A">
        <w:rPr>
          <w:u w:val="single"/>
        </w:rPr>
        <w:t>о допуске</w:t>
      </w:r>
      <w:r w:rsidRPr="00920C6A">
        <w:t xml:space="preserve"> на участие в конкурсе следующих участников:</w:t>
      </w:r>
    </w:p>
    <w:p w:rsidR="00F20A94" w:rsidRDefault="00F20A94" w:rsidP="00322559">
      <w:pPr>
        <w:contextualSpacing/>
        <w:jc w:val="both"/>
      </w:pPr>
    </w:p>
    <w:tbl>
      <w:tblPr>
        <w:tblW w:w="9498" w:type="dxa"/>
        <w:tblInd w:w="8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60"/>
        <w:gridCol w:w="3063"/>
        <w:gridCol w:w="2749"/>
        <w:gridCol w:w="2126"/>
      </w:tblGrid>
      <w:tr w:rsidR="00E5448F" w:rsidRPr="00920C6A" w:rsidTr="00E53CD9">
        <w:trPr>
          <w:trHeight w:val="654"/>
        </w:trPr>
        <w:tc>
          <w:tcPr>
            <w:tcW w:w="156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448F" w:rsidRPr="00920C6A" w:rsidRDefault="00E5448F" w:rsidP="0002625A">
            <w:pPr>
              <w:contextualSpacing/>
              <w:jc w:val="center"/>
              <w:rPr>
                <w:b/>
              </w:rPr>
            </w:pPr>
            <w:proofErr w:type="gramStart"/>
            <w:r w:rsidRPr="00920C6A">
              <w:rPr>
                <w:b/>
              </w:rPr>
              <w:t>Регистра-</w:t>
            </w:r>
            <w:proofErr w:type="spellStart"/>
            <w:r w:rsidRPr="00920C6A">
              <w:rPr>
                <w:b/>
              </w:rPr>
              <w:t>ционный</w:t>
            </w:r>
            <w:proofErr w:type="spellEnd"/>
            <w:proofErr w:type="gramEnd"/>
            <w:r w:rsidRPr="00920C6A">
              <w:rPr>
                <w:b/>
              </w:rPr>
              <w:t xml:space="preserve"> номер заявки</w:t>
            </w:r>
          </w:p>
        </w:tc>
        <w:tc>
          <w:tcPr>
            <w:tcW w:w="306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448F" w:rsidRPr="00920C6A" w:rsidRDefault="00E5448F" w:rsidP="0002625A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>Участник размещения заказа, подавший заявку, допущенный к участию в закупочной процедуре</w:t>
            </w:r>
          </w:p>
        </w:tc>
        <w:tc>
          <w:tcPr>
            <w:tcW w:w="274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448F" w:rsidRPr="00920C6A" w:rsidRDefault="00E5448F" w:rsidP="0002625A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 xml:space="preserve">ЗА </w:t>
            </w:r>
          </w:p>
          <w:p w:rsidR="00E5448F" w:rsidRPr="00920C6A" w:rsidRDefault="00E5448F" w:rsidP="0002625A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 xml:space="preserve">принятие </w:t>
            </w:r>
            <w:r w:rsidRPr="00920C6A">
              <w:rPr>
                <w:b/>
              </w:rPr>
              <w:br/>
              <w:t>решения в отношении каждого члена Единой комиссии</w:t>
            </w:r>
          </w:p>
        </w:tc>
        <w:tc>
          <w:tcPr>
            <w:tcW w:w="21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448F" w:rsidRPr="00920C6A" w:rsidRDefault="00E5448F" w:rsidP="0002625A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 xml:space="preserve">ПРОТИВ принятия </w:t>
            </w:r>
            <w:r w:rsidRPr="00920C6A">
              <w:rPr>
                <w:b/>
              </w:rPr>
              <w:br/>
              <w:t xml:space="preserve">решения в отношении каждого члена Единой комиссии </w:t>
            </w:r>
          </w:p>
        </w:tc>
      </w:tr>
      <w:tr w:rsidR="00E53CD9" w:rsidRPr="00920C6A" w:rsidTr="00733963">
        <w:trPr>
          <w:trHeight w:val="283"/>
        </w:trPr>
        <w:tc>
          <w:tcPr>
            <w:tcW w:w="1560" w:type="dxa"/>
            <w:vMerge w:val="restart"/>
            <w:tcBorders>
              <w:top w:val="thickThinSmallGap" w:sz="12" w:space="0" w:color="auto"/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920C6A" w:rsidRDefault="00E53CD9" w:rsidP="0002625A">
            <w:pPr>
              <w:contextualSpacing/>
              <w:jc w:val="center"/>
            </w:pPr>
            <w:r>
              <w:t>1</w:t>
            </w:r>
          </w:p>
        </w:tc>
        <w:tc>
          <w:tcPr>
            <w:tcW w:w="3063" w:type="dxa"/>
            <w:vMerge w:val="restart"/>
            <w:tcBorders>
              <w:top w:val="thickThinSmallGap" w:sz="12" w:space="0" w:color="auto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02625A">
            <w:pPr>
              <w:ind w:firstLine="34"/>
              <w:contextualSpacing/>
              <w:rPr>
                <w:b/>
              </w:rPr>
            </w:pPr>
          </w:p>
          <w:p w:rsidR="00E53CD9" w:rsidRDefault="00E53CD9" w:rsidP="0002625A">
            <w:pPr>
              <w:ind w:firstLine="34"/>
              <w:contextualSpacing/>
              <w:rPr>
                <w:b/>
              </w:rPr>
            </w:pPr>
            <w:r>
              <w:rPr>
                <w:b/>
              </w:rPr>
              <w:t>ООО «РАСТАМ-Аудит»</w:t>
            </w:r>
          </w:p>
          <w:p w:rsidR="00E53CD9" w:rsidRDefault="00E53CD9" w:rsidP="0002625A">
            <w:pPr>
              <w:ind w:firstLine="34"/>
              <w:contextualSpacing/>
              <w:rPr>
                <w:b/>
              </w:rPr>
            </w:pPr>
          </w:p>
          <w:p w:rsidR="00E53CD9" w:rsidRPr="00920C6A" w:rsidRDefault="00E53CD9" w:rsidP="0002625A">
            <w:pPr>
              <w:ind w:firstLine="34"/>
              <w:contextualSpacing/>
              <w:rPr>
                <w:b/>
              </w:rPr>
            </w:pPr>
          </w:p>
        </w:tc>
        <w:tc>
          <w:tcPr>
            <w:tcW w:w="2749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E53CD9" w:rsidRPr="00920C6A" w:rsidRDefault="00E53CD9" w:rsidP="0002625A">
            <w:pPr>
              <w:contextualSpacing/>
              <w:jc w:val="center"/>
            </w:pPr>
            <w:proofErr w:type="spellStart"/>
            <w:r>
              <w:t>Цускман</w:t>
            </w:r>
            <w:proofErr w:type="spellEnd"/>
            <w:r>
              <w:t xml:space="preserve"> С.Ю.</w:t>
            </w:r>
          </w:p>
        </w:tc>
        <w:tc>
          <w:tcPr>
            <w:tcW w:w="2126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E53CD9" w:rsidRPr="00920C6A" w:rsidRDefault="00E53CD9" w:rsidP="0002625A">
            <w:pPr>
              <w:pStyle w:val="a9"/>
              <w:spacing w:before="0" w:after="0"/>
              <w:contextualSpacing/>
              <w:jc w:val="center"/>
              <w:rPr>
                <w:szCs w:val="24"/>
              </w:rPr>
            </w:pPr>
            <w:r w:rsidRPr="00920C6A">
              <w:rPr>
                <w:szCs w:val="24"/>
              </w:rPr>
              <w:t>-</w:t>
            </w:r>
          </w:p>
        </w:tc>
      </w:tr>
      <w:tr w:rsidR="00E53CD9" w:rsidRPr="00920C6A" w:rsidTr="00733963">
        <w:trPr>
          <w:trHeight w:val="283"/>
        </w:trPr>
        <w:tc>
          <w:tcPr>
            <w:tcW w:w="1560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920C6A" w:rsidRDefault="00E53CD9" w:rsidP="0002625A">
            <w:pPr>
              <w:contextualSpacing/>
            </w:pPr>
          </w:p>
        </w:tc>
        <w:tc>
          <w:tcPr>
            <w:tcW w:w="306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920C6A" w:rsidRDefault="00E53CD9" w:rsidP="0002625A">
            <w:pPr>
              <w:contextualSpacing/>
              <w:rPr>
                <w:b/>
              </w:rPr>
            </w:pPr>
          </w:p>
        </w:tc>
        <w:tc>
          <w:tcPr>
            <w:tcW w:w="2749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E53CD9" w:rsidRPr="00920C6A" w:rsidRDefault="00C83DB2" w:rsidP="0002625A">
            <w:pPr>
              <w:contextualSpacing/>
              <w:jc w:val="center"/>
            </w:pPr>
            <w:r w:rsidRPr="00C83DB2">
              <w:t>Мищенко</w:t>
            </w:r>
            <w:r>
              <w:t xml:space="preserve"> Е.В</w:t>
            </w:r>
            <w:r w:rsidR="00E53CD9">
              <w:t>.</w:t>
            </w:r>
          </w:p>
        </w:tc>
        <w:tc>
          <w:tcPr>
            <w:tcW w:w="2126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E53CD9" w:rsidRPr="00920C6A" w:rsidRDefault="00E53CD9" w:rsidP="0002625A">
            <w:pPr>
              <w:pStyle w:val="a9"/>
              <w:spacing w:before="0" w:after="0"/>
              <w:contextualSpacing/>
              <w:jc w:val="center"/>
              <w:rPr>
                <w:szCs w:val="24"/>
              </w:rPr>
            </w:pPr>
            <w:r w:rsidRPr="00920C6A">
              <w:rPr>
                <w:szCs w:val="24"/>
              </w:rPr>
              <w:t>-</w:t>
            </w:r>
          </w:p>
        </w:tc>
      </w:tr>
      <w:tr w:rsidR="00E53CD9" w:rsidRPr="00920C6A" w:rsidTr="00733963">
        <w:trPr>
          <w:trHeight w:val="283"/>
        </w:trPr>
        <w:tc>
          <w:tcPr>
            <w:tcW w:w="1560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920C6A" w:rsidRDefault="00E53CD9" w:rsidP="0002625A">
            <w:pPr>
              <w:contextualSpacing/>
            </w:pPr>
          </w:p>
        </w:tc>
        <w:tc>
          <w:tcPr>
            <w:tcW w:w="306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920C6A" w:rsidRDefault="00E53CD9" w:rsidP="0002625A">
            <w:pPr>
              <w:contextualSpacing/>
              <w:rPr>
                <w:b/>
              </w:rPr>
            </w:pPr>
          </w:p>
        </w:tc>
        <w:tc>
          <w:tcPr>
            <w:tcW w:w="274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02625A">
            <w:pPr>
              <w:contextualSpacing/>
              <w:jc w:val="center"/>
            </w:pPr>
            <w:r>
              <w:t>Щелконогова Л.В.</w:t>
            </w:r>
          </w:p>
        </w:tc>
        <w:tc>
          <w:tcPr>
            <w:tcW w:w="21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920C6A" w:rsidRDefault="00E53CD9" w:rsidP="0002625A">
            <w:pPr>
              <w:pStyle w:val="a9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53CD9" w:rsidRPr="00920C6A" w:rsidTr="00733963">
        <w:trPr>
          <w:trHeight w:val="283"/>
        </w:trPr>
        <w:tc>
          <w:tcPr>
            <w:tcW w:w="1560" w:type="dxa"/>
            <w:vMerge/>
            <w:tcBorders>
              <w:left w:val="thickThinLargeGap" w:sz="6" w:space="0" w:color="000000"/>
              <w:bottom w:val="thickThinSmallGap" w:sz="12" w:space="0" w:color="auto"/>
              <w:right w:val="thickThinLargeGap" w:sz="6" w:space="0" w:color="000000"/>
            </w:tcBorders>
            <w:vAlign w:val="center"/>
          </w:tcPr>
          <w:p w:rsidR="00E53CD9" w:rsidRPr="00920C6A" w:rsidRDefault="00E53CD9" w:rsidP="0002625A">
            <w:pPr>
              <w:contextualSpacing/>
            </w:pPr>
          </w:p>
        </w:tc>
        <w:tc>
          <w:tcPr>
            <w:tcW w:w="3063" w:type="dxa"/>
            <w:vMerge/>
            <w:tcBorders>
              <w:left w:val="thickThinLargeGap" w:sz="6" w:space="0" w:color="000000"/>
              <w:bottom w:val="thickThinSmallGap" w:sz="12" w:space="0" w:color="auto"/>
              <w:right w:val="thickThinLargeGap" w:sz="6" w:space="0" w:color="000000"/>
            </w:tcBorders>
            <w:vAlign w:val="center"/>
          </w:tcPr>
          <w:p w:rsidR="00E53CD9" w:rsidRPr="00920C6A" w:rsidRDefault="00E53CD9" w:rsidP="0002625A">
            <w:pPr>
              <w:contextualSpacing/>
              <w:rPr>
                <w:b/>
              </w:rPr>
            </w:pPr>
          </w:p>
        </w:tc>
        <w:tc>
          <w:tcPr>
            <w:tcW w:w="274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F55FAD" w:rsidRDefault="00E53CD9" w:rsidP="0002625A">
            <w:pPr>
              <w:contextualSpacing/>
              <w:jc w:val="center"/>
            </w:pPr>
            <w:r>
              <w:t>Червяков</w:t>
            </w:r>
            <w:r w:rsidR="00F55FAD">
              <w:t xml:space="preserve"> А.Г.</w:t>
            </w:r>
          </w:p>
        </w:tc>
        <w:tc>
          <w:tcPr>
            <w:tcW w:w="21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02625A">
            <w:pPr>
              <w:pStyle w:val="a9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E5448F" w:rsidRDefault="00E5448F" w:rsidP="00E5448F">
      <w:pPr>
        <w:ind w:firstLine="426"/>
        <w:contextualSpacing/>
      </w:pPr>
    </w:p>
    <w:p w:rsidR="00E37130" w:rsidRDefault="00252F34" w:rsidP="00E5448F">
      <w:pPr>
        <w:contextualSpacing/>
        <w:jc w:val="both"/>
      </w:pPr>
      <w:r>
        <w:t>1</w:t>
      </w:r>
      <w:r w:rsidR="00E5448F" w:rsidRPr="00E17B7E">
        <w:t xml:space="preserve">.2.2. Решение </w:t>
      </w:r>
      <w:r w:rsidR="00E5448F" w:rsidRPr="00E17B7E">
        <w:rPr>
          <w:u w:val="single"/>
        </w:rPr>
        <w:t>об отказе</w:t>
      </w:r>
      <w:r w:rsidR="00E5448F" w:rsidRPr="00E17B7E">
        <w:t xml:space="preserve"> в допуске к участию в конкурсе следующих участников:</w:t>
      </w:r>
    </w:p>
    <w:p w:rsidR="00F20A94" w:rsidRDefault="00F20A94" w:rsidP="00E5448F">
      <w:pPr>
        <w:contextualSpacing/>
        <w:jc w:val="both"/>
      </w:pPr>
    </w:p>
    <w:tbl>
      <w:tblPr>
        <w:tblW w:w="9502" w:type="dxa"/>
        <w:tblInd w:w="8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6"/>
        <w:gridCol w:w="3481"/>
        <w:gridCol w:w="2629"/>
        <w:gridCol w:w="2556"/>
      </w:tblGrid>
      <w:tr w:rsidR="00E37130" w:rsidRPr="004855DA" w:rsidTr="002B0A35">
        <w:trPr>
          <w:trHeight w:val="989"/>
        </w:trPr>
        <w:tc>
          <w:tcPr>
            <w:tcW w:w="83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E37130" w:rsidRPr="004855DA" w:rsidRDefault="00E37130" w:rsidP="002B0A35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855DA">
              <w:rPr>
                <w:b/>
                <w:snapToGrid w:val="0"/>
                <w:sz w:val="22"/>
                <w:szCs w:val="22"/>
              </w:rPr>
              <w:t>Рег. №</w:t>
            </w:r>
          </w:p>
        </w:tc>
        <w:tc>
          <w:tcPr>
            <w:tcW w:w="34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E37130" w:rsidRPr="004855DA" w:rsidRDefault="00E37130" w:rsidP="002B0A35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855DA">
              <w:rPr>
                <w:b/>
                <w:sz w:val="22"/>
                <w:szCs w:val="22"/>
              </w:rPr>
              <w:t>Участник закупки, подавший заявку, допущенный к участию в закупочной процедуре</w:t>
            </w: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E37130" w:rsidRPr="004855DA" w:rsidRDefault="00E37130" w:rsidP="002B0A35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855DA">
              <w:rPr>
                <w:b/>
                <w:sz w:val="22"/>
                <w:szCs w:val="22"/>
              </w:rPr>
              <w:t>ЗА принятие решения в отношении каждого члена Единой комиссии</w:t>
            </w:r>
          </w:p>
        </w:tc>
        <w:tc>
          <w:tcPr>
            <w:tcW w:w="25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E37130" w:rsidRPr="004855DA" w:rsidRDefault="00E37130" w:rsidP="002B0A35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855DA">
              <w:rPr>
                <w:b/>
                <w:sz w:val="22"/>
                <w:szCs w:val="22"/>
              </w:rPr>
              <w:t xml:space="preserve">ПРОТИВ принятия решения в отношении каждого члена Единой комиссии </w:t>
            </w:r>
          </w:p>
        </w:tc>
      </w:tr>
      <w:tr w:rsidR="00E53CD9" w:rsidRPr="004855DA" w:rsidTr="002B0A35">
        <w:trPr>
          <w:trHeight w:val="2915"/>
        </w:trPr>
        <w:tc>
          <w:tcPr>
            <w:tcW w:w="83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1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rPr>
                <w:b/>
                <w:snapToGrid w:val="0"/>
              </w:rPr>
            </w:pPr>
            <w:r>
              <w:rPr>
                <w:b/>
              </w:rPr>
              <w:t>ООО «Центр аудиторских услуг»</w:t>
            </w: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spacing w:before="40" w:after="40"/>
            </w:pPr>
            <w:proofErr w:type="spellStart"/>
            <w:r>
              <w:t>Цускман</w:t>
            </w:r>
            <w:proofErr w:type="spellEnd"/>
            <w:r>
              <w:t xml:space="preserve"> С.Ю.</w:t>
            </w:r>
          </w:p>
        </w:tc>
        <w:tc>
          <w:tcPr>
            <w:tcW w:w="255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E37130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 w:rsidRPr="00E37130">
              <w:rPr>
                <w:sz w:val="22"/>
                <w:szCs w:val="22"/>
              </w:rPr>
              <w:t xml:space="preserve">Заявка </w:t>
            </w:r>
            <w:r w:rsidRPr="00E37130">
              <w:rPr>
                <w:b/>
                <w:sz w:val="22"/>
                <w:szCs w:val="22"/>
              </w:rPr>
              <w:t>ООО «Центр аудиторских услуг»</w:t>
            </w:r>
            <w:r w:rsidRPr="00E37130">
              <w:rPr>
                <w:sz w:val="22"/>
                <w:szCs w:val="22"/>
              </w:rPr>
              <w:t xml:space="preserve"> не соответствует требованиям </w:t>
            </w:r>
            <w:proofErr w:type="spellStart"/>
            <w:r w:rsidRPr="00E37130">
              <w:rPr>
                <w:sz w:val="22"/>
                <w:szCs w:val="22"/>
              </w:rPr>
              <w:t>п.п</w:t>
            </w:r>
            <w:proofErr w:type="spellEnd"/>
            <w:r w:rsidRPr="00E37130">
              <w:rPr>
                <w:sz w:val="22"/>
                <w:szCs w:val="22"/>
              </w:rPr>
              <w:t>. 3.1.6,</w:t>
            </w:r>
            <w:r>
              <w:rPr>
                <w:sz w:val="22"/>
                <w:szCs w:val="22"/>
              </w:rPr>
              <w:t xml:space="preserve"> 8.8,</w:t>
            </w:r>
            <w:r w:rsidRPr="00E37130">
              <w:rPr>
                <w:sz w:val="22"/>
                <w:szCs w:val="22"/>
              </w:rPr>
              <w:t xml:space="preserve">  8.10 конкурсной документации по проведению открытого конкурса на право заключения договора оказания услуг по проведению обязательного ежегодного аудита финансовой (бухгалтерской) отчетности по итогам 2016 финансового года АО «ЮТЭК»  (Реестровый номер: 4-2014):</w:t>
            </w:r>
          </w:p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53CD9">
              <w:rPr>
                <w:color w:val="000000"/>
                <w:sz w:val="22"/>
                <w:szCs w:val="22"/>
              </w:rPr>
              <w:t xml:space="preserve">Документы, </w:t>
            </w:r>
            <w:r w:rsidRPr="00E53CD9">
              <w:rPr>
                <w:color w:val="000000"/>
                <w:sz w:val="22"/>
                <w:szCs w:val="22"/>
              </w:rPr>
              <w:lastRenderedPageBreak/>
              <w:t xml:space="preserve">приложенные к заявке, подписаны неуполномоченным лицом, поскольку в приложенной доверенности №57 от 23.05.16г. на имя </w:t>
            </w:r>
            <w:proofErr w:type="spellStart"/>
            <w:r w:rsidRPr="00E53CD9">
              <w:rPr>
                <w:color w:val="000000"/>
                <w:sz w:val="22"/>
                <w:szCs w:val="22"/>
              </w:rPr>
              <w:t>Подлевских</w:t>
            </w:r>
            <w:proofErr w:type="spellEnd"/>
            <w:r w:rsidRPr="00E53CD9">
              <w:rPr>
                <w:color w:val="000000"/>
                <w:sz w:val="22"/>
                <w:szCs w:val="22"/>
              </w:rPr>
              <w:t xml:space="preserve"> П.А. имеются полномочия только на подписание заявки и договора по результатам закупки</w:t>
            </w:r>
            <w:r w:rsidRPr="00E37130">
              <w:rPr>
                <w:color w:val="000000"/>
                <w:sz w:val="22"/>
                <w:szCs w:val="22"/>
              </w:rPr>
              <w:t>;</w:t>
            </w:r>
          </w:p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53CD9">
              <w:rPr>
                <w:color w:val="000000"/>
                <w:sz w:val="22"/>
                <w:szCs w:val="22"/>
              </w:rPr>
              <w:t>В письме о том, что сделка не является крупной, не указано наименование закупочной процедуры, а также отсутствует мотивированное пояснение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53CD9">
              <w:rPr>
                <w:color w:val="000000"/>
                <w:sz w:val="22"/>
                <w:szCs w:val="22"/>
              </w:rPr>
              <w:t xml:space="preserve">К заявке не приложена </w:t>
            </w:r>
            <w:proofErr w:type="spellStart"/>
            <w:r w:rsidRPr="00E53CD9">
              <w:rPr>
                <w:color w:val="000000"/>
                <w:sz w:val="22"/>
                <w:szCs w:val="22"/>
              </w:rPr>
              <w:t>выкопировка</w:t>
            </w:r>
            <w:proofErr w:type="spellEnd"/>
            <w:r w:rsidRPr="00E53CD9">
              <w:rPr>
                <w:color w:val="000000"/>
                <w:sz w:val="22"/>
                <w:szCs w:val="22"/>
              </w:rPr>
              <w:t xml:space="preserve"> страниц сайт</w:t>
            </w:r>
            <w:proofErr w:type="gramStart"/>
            <w:r w:rsidRPr="00E53CD9">
              <w:rPr>
                <w:color w:val="000000"/>
                <w:sz w:val="22"/>
                <w:szCs w:val="22"/>
              </w:rPr>
              <w:t>а(</w:t>
            </w:r>
            <w:proofErr w:type="spellStart"/>
            <w:proofErr w:type="gramEnd"/>
            <w:r w:rsidRPr="00E53CD9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E53CD9">
              <w:rPr>
                <w:color w:val="000000"/>
                <w:sz w:val="22"/>
                <w:szCs w:val="22"/>
              </w:rPr>
              <w:t>), на котором(</w:t>
            </w:r>
            <w:proofErr w:type="spellStart"/>
            <w:r w:rsidRPr="00E53CD9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E53CD9">
              <w:rPr>
                <w:color w:val="000000"/>
                <w:sz w:val="22"/>
                <w:szCs w:val="22"/>
              </w:rPr>
              <w:t>) размещен рейтинг оценки аудито</w:t>
            </w:r>
            <w:r>
              <w:rPr>
                <w:color w:val="000000"/>
                <w:sz w:val="22"/>
                <w:szCs w:val="22"/>
              </w:rPr>
              <w:t>рских компаний;</w:t>
            </w:r>
          </w:p>
          <w:p w:rsidR="00E53CD9" w:rsidRPr="00264BF5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53CD9">
              <w:rPr>
                <w:color w:val="000000"/>
                <w:sz w:val="22"/>
                <w:szCs w:val="22"/>
              </w:rPr>
              <w:t>Диск с электронной копией заявки не подшит к оригиналу заявки, отсутствует нумерация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53CD9" w:rsidRPr="00264BF5" w:rsidRDefault="00E53CD9" w:rsidP="002B0A35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</w:tr>
      <w:tr w:rsidR="00E53CD9" w:rsidRPr="004855DA" w:rsidTr="002B0A35">
        <w:trPr>
          <w:trHeight w:val="2575"/>
        </w:trPr>
        <w:tc>
          <w:tcPr>
            <w:tcW w:w="83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81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rPr>
                <w:snapToGrid w:val="0"/>
              </w:rPr>
            </w:pP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A87420" w:rsidP="002B0A35">
            <w:pPr>
              <w:widowControl w:val="0"/>
              <w:spacing w:before="40" w:after="40"/>
            </w:pPr>
            <w:r w:rsidRPr="00C83DB2">
              <w:t>Мищенко</w:t>
            </w:r>
            <w:r>
              <w:t xml:space="preserve"> Е.В.</w:t>
            </w:r>
          </w:p>
        </w:tc>
        <w:tc>
          <w:tcPr>
            <w:tcW w:w="255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2936F0" w:rsidRDefault="00E53CD9" w:rsidP="002B0A35">
            <w:pPr>
              <w:widowControl w:val="0"/>
              <w:rPr>
                <w:sz w:val="22"/>
                <w:szCs w:val="22"/>
              </w:rPr>
            </w:pPr>
          </w:p>
        </w:tc>
      </w:tr>
      <w:tr w:rsidR="00E53CD9" w:rsidRPr="004855DA" w:rsidTr="002B0A35">
        <w:trPr>
          <w:trHeight w:val="3534"/>
        </w:trPr>
        <w:tc>
          <w:tcPr>
            <w:tcW w:w="83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81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rPr>
                <w:snapToGrid w:val="0"/>
              </w:rPr>
            </w:pP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4855DA" w:rsidRDefault="00E53CD9" w:rsidP="002B0A35">
            <w:pPr>
              <w:widowControl w:val="0"/>
              <w:spacing w:before="40" w:after="40"/>
            </w:pPr>
            <w:r>
              <w:t>Щелконогова Л.В.</w:t>
            </w:r>
          </w:p>
        </w:tc>
        <w:tc>
          <w:tcPr>
            <w:tcW w:w="255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E53CD9" w:rsidRPr="002936F0" w:rsidRDefault="00E53CD9" w:rsidP="002B0A35">
            <w:pPr>
              <w:widowControl w:val="0"/>
              <w:rPr>
                <w:sz w:val="22"/>
                <w:szCs w:val="22"/>
              </w:rPr>
            </w:pPr>
          </w:p>
        </w:tc>
      </w:tr>
      <w:tr w:rsidR="00E53CD9" w:rsidRPr="004855DA" w:rsidTr="002B0A35">
        <w:trPr>
          <w:trHeight w:val="379"/>
        </w:trPr>
        <w:tc>
          <w:tcPr>
            <w:tcW w:w="836" w:type="dxa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4855DA" w:rsidRDefault="00E53CD9" w:rsidP="002B0A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4855DA" w:rsidRDefault="00E53CD9" w:rsidP="002B0A35">
            <w:pPr>
              <w:widowControl w:val="0"/>
              <w:rPr>
                <w:snapToGrid w:val="0"/>
              </w:rPr>
            </w:pP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</w:pPr>
            <w:r>
              <w:t>Червяков А.Г.</w:t>
            </w:r>
          </w:p>
        </w:tc>
        <w:tc>
          <w:tcPr>
            <w:tcW w:w="255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2936F0" w:rsidRDefault="00E53CD9" w:rsidP="002B0A35">
            <w:pPr>
              <w:widowControl w:val="0"/>
              <w:rPr>
                <w:sz w:val="22"/>
                <w:szCs w:val="22"/>
              </w:rPr>
            </w:pPr>
          </w:p>
        </w:tc>
      </w:tr>
      <w:tr w:rsidR="00E53CD9" w:rsidRPr="00C575F7" w:rsidTr="002B0A35">
        <w:trPr>
          <w:trHeight w:val="2630"/>
        </w:trPr>
        <w:tc>
          <w:tcPr>
            <w:tcW w:w="83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1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jc w:val="both"/>
            </w:pPr>
            <w:r>
              <w:rPr>
                <w:b/>
              </w:rPr>
              <w:t xml:space="preserve">ООО «Фирма </w:t>
            </w:r>
            <w:proofErr w:type="spellStart"/>
            <w:r>
              <w:rPr>
                <w:b/>
              </w:rPr>
              <w:t>Аудитинформ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4855DA" w:rsidRDefault="00E53CD9" w:rsidP="002B0A35">
            <w:pPr>
              <w:widowControl w:val="0"/>
              <w:spacing w:before="40" w:after="40"/>
            </w:pPr>
            <w:proofErr w:type="spellStart"/>
            <w:r>
              <w:t>Цускман</w:t>
            </w:r>
            <w:proofErr w:type="spellEnd"/>
            <w:r>
              <w:t xml:space="preserve"> С.Ю.</w:t>
            </w:r>
          </w:p>
        </w:tc>
        <w:tc>
          <w:tcPr>
            <w:tcW w:w="255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 w:rsidRPr="002936F0">
              <w:rPr>
                <w:sz w:val="22"/>
                <w:szCs w:val="22"/>
              </w:rPr>
              <w:t xml:space="preserve">Заявка </w:t>
            </w:r>
            <w:r w:rsidRPr="002B0A35">
              <w:rPr>
                <w:b/>
                <w:sz w:val="22"/>
                <w:szCs w:val="22"/>
              </w:rPr>
              <w:t xml:space="preserve">ООО «Фирма </w:t>
            </w:r>
            <w:proofErr w:type="spellStart"/>
            <w:r w:rsidRPr="002B0A35">
              <w:rPr>
                <w:b/>
                <w:sz w:val="22"/>
                <w:szCs w:val="22"/>
              </w:rPr>
              <w:t>Аудитинформ</w:t>
            </w:r>
            <w:proofErr w:type="spellEnd"/>
            <w:r w:rsidRPr="002B0A35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2936F0">
              <w:rPr>
                <w:sz w:val="22"/>
                <w:szCs w:val="22"/>
              </w:rPr>
              <w:t xml:space="preserve">не соответствует требованиям </w:t>
            </w:r>
            <w:proofErr w:type="spellStart"/>
            <w:r w:rsidRPr="00563C27">
              <w:rPr>
                <w:b/>
                <w:sz w:val="22"/>
                <w:szCs w:val="22"/>
              </w:rPr>
              <w:t>п.п</w:t>
            </w:r>
            <w:proofErr w:type="spellEnd"/>
            <w:r w:rsidRPr="00E3713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3.1.1, 3.1.6, </w:t>
            </w:r>
            <w:r w:rsidRPr="00E37130">
              <w:rPr>
                <w:b/>
                <w:sz w:val="22"/>
                <w:szCs w:val="22"/>
              </w:rPr>
              <w:t>8.10</w:t>
            </w:r>
            <w:r w:rsidRPr="00E37130">
              <w:rPr>
                <w:sz w:val="22"/>
                <w:szCs w:val="22"/>
              </w:rPr>
              <w:t xml:space="preserve"> конкурсной документации по проведению открытого конкурса на право заключения договора оказания услуг по </w:t>
            </w:r>
            <w:r w:rsidRPr="00E37130">
              <w:rPr>
                <w:sz w:val="22"/>
                <w:szCs w:val="22"/>
              </w:rPr>
              <w:lastRenderedPageBreak/>
              <w:t>проведению обязательного ежегодного аудита финансовой (бухгалтерской) отчетности по итогам 2016 финансового года АО «ЮТЭК»  (Реестровый номер: 4-2014):</w:t>
            </w:r>
          </w:p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53CD9">
              <w:rPr>
                <w:sz w:val="22"/>
                <w:szCs w:val="22"/>
              </w:rPr>
              <w:t>В письме о том, что сделка не является крупной, не указано наименование закупочной процедуры, а также отсутств</w:t>
            </w:r>
            <w:r>
              <w:rPr>
                <w:sz w:val="22"/>
                <w:szCs w:val="22"/>
              </w:rPr>
              <w:t>ует мотивированное пояснение;</w:t>
            </w:r>
          </w:p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53CD9">
              <w:rPr>
                <w:sz w:val="22"/>
                <w:szCs w:val="22"/>
              </w:rPr>
              <w:t xml:space="preserve">Не приложена </w:t>
            </w:r>
            <w:proofErr w:type="spellStart"/>
            <w:r w:rsidRPr="00E53CD9">
              <w:rPr>
                <w:sz w:val="22"/>
                <w:szCs w:val="22"/>
              </w:rPr>
              <w:t>выкопировка</w:t>
            </w:r>
            <w:proofErr w:type="spellEnd"/>
            <w:r w:rsidRPr="00E53CD9">
              <w:rPr>
                <w:sz w:val="22"/>
                <w:szCs w:val="22"/>
              </w:rPr>
              <w:t xml:space="preserve"> страниц сайта</w:t>
            </w:r>
            <w:r>
              <w:rPr>
                <w:sz w:val="22"/>
                <w:szCs w:val="22"/>
              </w:rPr>
              <w:t xml:space="preserve"> </w:t>
            </w:r>
            <w:r w:rsidRPr="00E53CD9">
              <w:rPr>
                <w:sz w:val="22"/>
                <w:szCs w:val="22"/>
              </w:rPr>
              <w:t>(</w:t>
            </w:r>
            <w:proofErr w:type="spellStart"/>
            <w:r w:rsidRPr="00E53CD9">
              <w:rPr>
                <w:sz w:val="22"/>
                <w:szCs w:val="22"/>
              </w:rPr>
              <w:t>ов</w:t>
            </w:r>
            <w:proofErr w:type="spellEnd"/>
            <w:r w:rsidRPr="00E53CD9">
              <w:rPr>
                <w:sz w:val="22"/>
                <w:szCs w:val="22"/>
              </w:rPr>
              <w:t>), на которо</w:t>
            </w:r>
            <w:proofErr w:type="gramStart"/>
            <w:r w:rsidRPr="00E53CD9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E53CD9">
              <w:rPr>
                <w:sz w:val="22"/>
                <w:szCs w:val="22"/>
              </w:rPr>
              <w:t>ых</w:t>
            </w:r>
            <w:proofErr w:type="spellEnd"/>
            <w:r w:rsidRPr="00E53CD9">
              <w:rPr>
                <w:sz w:val="22"/>
                <w:szCs w:val="22"/>
              </w:rPr>
              <w:t>) размещен рейт</w:t>
            </w:r>
            <w:r>
              <w:rPr>
                <w:sz w:val="22"/>
                <w:szCs w:val="22"/>
              </w:rPr>
              <w:t>инг оценки аудиторских компаний;</w:t>
            </w:r>
          </w:p>
          <w:p w:rsidR="00E53CD9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53CD9">
              <w:rPr>
                <w:sz w:val="22"/>
                <w:szCs w:val="22"/>
              </w:rPr>
              <w:t>Не приложена информация, подтверждающая добросовестность участника закупки, указанная в п. 3 ст. 37 Федерального закона от 05.04.2013 № 44-ФЗ «О контрактной системе в сфере закупок товаров, работ, услуг для обеспечения госуда</w:t>
            </w:r>
            <w:r>
              <w:rPr>
                <w:sz w:val="22"/>
                <w:szCs w:val="22"/>
              </w:rPr>
              <w:t>рственных и муниципальных нужд»;</w:t>
            </w:r>
          </w:p>
          <w:p w:rsidR="00E53CD9" w:rsidRPr="002936F0" w:rsidRDefault="00E53CD9" w:rsidP="002B0A35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>В письме о принадлежности к субъектам малого предпринимательства не указана информация о соответствии участника закупки критериям, указанным в ст. 4 ФЗ «О развитии малого и среднего предпринимательств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а в Российской Федерации».</w:t>
            </w:r>
          </w:p>
        </w:tc>
      </w:tr>
      <w:tr w:rsidR="00E53CD9" w:rsidRPr="00C575F7" w:rsidTr="002B0A35">
        <w:trPr>
          <w:trHeight w:val="3232"/>
        </w:trPr>
        <w:tc>
          <w:tcPr>
            <w:tcW w:w="83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481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</w:pP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4855DA" w:rsidRDefault="00A87420" w:rsidP="002B0A35">
            <w:pPr>
              <w:widowControl w:val="0"/>
              <w:spacing w:before="40" w:after="40"/>
            </w:pPr>
            <w:r w:rsidRPr="00C83DB2">
              <w:t>Мищенко</w:t>
            </w:r>
            <w:r>
              <w:t xml:space="preserve"> Е.В.</w:t>
            </w:r>
            <w:r>
              <w:t xml:space="preserve"> </w:t>
            </w:r>
          </w:p>
        </w:tc>
        <w:tc>
          <w:tcPr>
            <w:tcW w:w="255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C575F7" w:rsidRDefault="00E53CD9" w:rsidP="002B0A35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</w:tr>
      <w:tr w:rsidR="00E53CD9" w:rsidRPr="00C575F7" w:rsidTr="00CF25AF">
        <w:trPr>
          <w:trHeight w:val="6009"/>
        </w:trPr>
        <w:tc>
          <w:tcPr>
            <w:tcW w:w="83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481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</w:pP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4855DA" w:rsidRDefault="00E53CD9" w:rsidP="002B0A35">
            <w:pPr>
              <w:widowControl w:val="0"/>
              <w:spacing w:before="40" w:after="40"/>
            </w:pPr>
            <w:r>
              <w:t>Щелконогова Л.В.</w:t>
            </w:r>
          </w:p>
        </w:tc>
        <w:tc>
          <w:tcPr>
            <w:tcW w:w="255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C575F7" w:rsidRDefault="00E53CD9" w:rsidP="002B0A35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</w:tr>
      <w:tr w:rsidR="00E53CD9" w:rsidRPr="00C575F7" w:rsidTr="002B0A35">
        <w:trPr>
          <w:trHeight w:val="487"/>
        </w:trPr>
        <w:tc>
          <w:tcPr>
            <w:tcW w:w="836" w:type="dxa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</w:pPr>
          </w:p>
        </w:tc>
        <w:tc>
          <w:tcPr>
            <w:tcW w:w="26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Default="00E53CD9" w:rsidP="002B0A35">
            <w:pPr>
              <w:widowControl w:val="0"/>
              <w:spacing w:before="40" w:after="40"/>
            </w:pPr>
            <w:r>
              <w:t xml:space="preserve">        Червяков А.Г.</w:t>
            </w:r>
          </w:p>
        </w:tc>
        <w:tc>
          <w:tcPr>
            <w:tcW w:w="255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E53CD9" w:rsidRPr="00C575F7" w:rsidRDefault="00E53CD9" w:rsidP="002B0A35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</w:tr>
    </w:tbl>
    <w:p w:rsidR="00E37130" w:rsidRDefault="00E37130" w:rsidP="00E37130">
      <w:pPr>
        <w:spacing w:before="40" w:after="40"/>
        <w:ind w:right="-1"/>
        <w:jc w:val="both"/>
      </w:pPr>
    </w:p>
    <w:p w:rsidR="00E5448F" w:rsidRPr="00920C6A" w:rsidRDefault="00E5448F" w:rsidP="00E5448F">
      <w:pPr>
        <w:ind w:firstLine="708"/>
        <w:contextualSpacing/>
        <w:jc w:val="both"/>
      </w:pPr>
      <w:r w:rsidRPr="00920C6A">
        <w:t>На основании результатов рассмотрения заявок Единой комиссией большинством голосов принято решение о допуске к участию в конкурсе:</w:t>
      </w:r>
    </w:p>
    <w:p w:rsidR="00E5448F" w:rsidRDefault="00E5448F" w:rsidP="00E5448F">
      <w:pPr>
        <w:tabs>
          <w:tab w:val="left" w:pos="8661"/>
        </w:tabs>
        <w:ind w:left="57" w:right="57" w:firstLine="510"/>
        <w:contextualSpacing/>
        <w:jc w:val="both"/>
        <w:rPr>
          <w:snapToGrid w:val="0"/>
        </w:rPr>
      </w:pPr>
    </w:p>
    <w:p w:rsidR="00E5448F" w:rsidRDefault="00E5448F" w:rsidP="00E5448F">
      <w:pPr>
        <w:tabs>
          <w:tab w:val="left" w:pos="8661"/>
        </w:tabs>
        <w:ind w:left="57" w:right="57" w:firstLine="510"/>
        <w:contextualSpacing/>
        <w:jc w:val="both"/>
        <w:rPr>
          <w:snapToGrid w:val="0"/>
        </w:rPr>
      </w:pPr>
      <w:r w:rsidRPr="00920C6A">
        <w:rPr>
          <w:snapToGrid w:val="0"/>
        </w:rPr>
        <w:t>-</w:t>
      </w:r>
      <w:r w:rsidRPr="00920C6A">
        <w:rPr>
          <w:b/>
        </w:rPr>
        <w:t xml:space="preserve"> </w:t>
      </w:r>
      <w:r w:rsidR="005A0E11">
        <w:rPr>
          <w:b/>
        </w:rPr>
        <w:t>ООО «РАСТАМ-Аудит»</w:t>
      </w:r>
      <w:r>
        <w:rPr>
          <w:snapToGrid w:val="0"/>
        </w:rPr>
        <w:t xml:space="preserve"> (регистрационный номер заявки 1</w:t>
      </w:r>
      <w:r w:rsidR="002B0A35">
        <w:rPr>
          <w:snapToGrid w:val="0"/>
        </w:rPr>
        <w:t>).</w:t>
      </w:r>
    </w:p>
    <w:p w:rsidR="002B0A35" w:rsidRDefault="002B0A35" w:rsidP="00E5448F">
      <w:pPr>
        <w:ind w:firstLine="709"/>
        <w:jc w:val="both"/>
      </w:pPr>
    </w:p>
    <w:p w:rsidR="00E5448F" w:rsidRDefault="00F20A94" w:rsidP="00E5448F">
      <w:pPr>
        <w:ind w:firstLine="709"/>
        <w:jc w:val="both"/>
      </w:pPr>
      <w:r>
        <w:t>1</w:t>
      </w:r>
      <w:r w:rsidR="00E5448F">
        <w:t>.3. Таким образом, для участия в конкурсе принята 1 (одна) заявка. Руководствуясь п. 7 ст. 28 Положения о порядке проведения регламентированных закупок товаров, работ, услуг в ОАО «</w:t>
      </w:r>
      <w:r w:rsidR="00EF5926">
        <w:t>ЮТЭК</w:t>
      </w:r>
      <w:r w:rsidR="00E5448F">
        <w:t xml:space="preserve">» открытый конкурс </w:t>
      </w:r>
      <w:r w:rsidR="00E5448F" w:rsidRPr="0015582A">
        <w:t xml:space="preserve">на право заключения договора оказания услуг по </w:t>
      </w:r>
      <w:r w:rsidR="00EF5926">
        <w:t xml:space="preserve">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 </w:t>
      </w:r>
      <w:r w:rsidR="00E5448F">
        <w:t>(</w:t>
      </w:r>
      <w:r w:rsidR="00E5448F">
        <w:rPr>
          <w:lang w:val="x-none"/>
        </w:rPr>
        <w:t xml:space="preserve">Реестровый номер: </w:t>
      </w:r>
      <w:r w:rsidR="00EF5926">
        <w:t>4</w:t>
      </w:r>
      <w:r w:rsidR="00E5448F">
        <w:rPr>
          <w:lang w:val="x-none"/>
        </w:rPr>
        <w:t>-20</w:t>
      </w:r>
      <w:r w:rsidR="00EF5926">
        <w:t>16</w:t>
      </w:r>
      <w:r w:rsidR="00E5448F">
        <w:t>)</w:t>
      </w:r>
      <w:r w:rsidR="00E5448F">
        <w:rPr>
          <w:lang w:val="x-none"/>
        </w:rPr>
        <w:t xml:space="preserve"> </w:t>
      </w:r>
      <w:r w:rsidR="00E5448F">
        <w:t xml:space="preserve">признан </w:t>
      </w:r>
      <w:r w:rsidR="00E5448F">
        <w:rPr>
          <w:b/>
        </w:rPr>
        <w:t>несостоявшимся</w:t>
      </w:r>
      <w:r w:rsidR="00E5448F">
        <w:t xml:space="preserve">. </w:t>
      </w:r>
    </w:p>
    <w:p w:rsidR="007A5071" w:rsidRDefault="00F20A94" w:rsidP="00E5448F">
      <w:pPr>
        <w:ind w:firstLine="709"/>
        <w:jc w:val="both"/>
      </w:pPr>
      <w:r>
        <w:t>1</w:t>
      </w:r>
      <w:r w:rsidR="007A5071">
        <w:t xml:space="preserve">.4. </w:t>
      </w:r>
      <w:r w:rsidR="007A5071" w:rsidRPr="002B0A35">
        <w:t>Руководствуясь п. 8 ст. 28</w:t>
      </w:r>
      <w:r w:rsidR="007A5071" w:rsidRPr="00E32501">
        <w:t xml:space="preserve"> Положения о порядке проведения регламентированных з</w:t>
      </w:r>
      <w:r w:rsidR="007A5071">
        <w:t xml:space="preserve">акупок товаров, работ, услуг в </w:t>
      </w:r>
      <w:r w:rsidR="005057B4">
        <w:t>О</w:t>
      </w:r>
      <w:r w:rsidR="007A5071" w:rsidRPr="00E32501">
        <w:t>АО «</w:t>
      </w:r>
      <w:r w:rsidR="007A5071">
        <w:t>Югорская территориальная энергетическая компания</w:t>
      </w:r>
      <w:r w:rsidR="007A5071" w:rsidRPr="00E32501">
        <w:t>», на голосование вынесен следующий вопрос:</w:t>
      </w:r>
      <w:r w:rsidR="00D26E93">
        <w:t xml:space="preserve"> </w:t>
      </w:r>
      <w:proofErr w:type="gramStart"/>
      <w:r w:rsidR="00D26E93" w:rsidRPr="00E32501">
        <w:rPr>
          <w:b/>
          <w:i/>
        </w:rPr>
        <w:t>«</w:t>
      </w:r>
      <w:r w:rsidR="00D26E93">
        <w:rPr>
          <w:b/>
          <w:i/>
        </w:rPr>
        <w:t>Заключить договор</w:t>
      </w:r>
      <w:r w:rsidR="00D26E93" w:rsidRPr="00D46D8A">
        <w:t xml:space="preserve"> </w:t>
      </w:r>
      <w:r w:rsidR="00D26E93" w:rsidRPr="00D46D8A">
        <w:rPr>
          <w:b/>
          <w:i/>
        </w:rPr>
        <w:t xml:space="preserve">оказания услуг </w:t>
      </w:r>
      <w:r w:rsidR="00D26E93">
        <w:rPr>
          <w:b/>
          <w:i/>
        </w:rPr>
        <w:t xml:space="preserve">по проведению 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 </w:t>
      </w:r>
      <w:r w:rsidR="00D26E93" w:rsidRPr="00E32501">
        <w:rPr>
          <w:b/>
          <w:i/>
        </w:rPr>
        <w:t xml:space="preserve">с единственным </w:t>
      </w:r>
      <w:r w:rsidR="00CF25AF">
        <w:rPr>
          <w:b/>
          <w:i/>
        </w:rPr>
        <w:t xml:space="preserve">исполнителем </w:t>
      </w:r>
      <w:r w:rsidR="00D26E93">
        <w:rPr>
          <w:b/>
          <w:i/>
        </w:rPr>
        <w:t xml:space="preserve">– </w:t>
      </w:r>
      <w:r w:rsidR="00D26E93" w:rsidRPr="00CF25AF">
        <w:rPr>
          <w:b/>
        </w:rPr>
        <w:t>ООО «РАСТАМ-Аудит»</w:t>
      </w:r>
      <w:r w:rsidR="00D26E93" w:rsidRPr="00E32501">
        <w:rPr>
          <w:b/>
          <w:i/>
        </w:rPr>
        <w:t>, на предложенных условиях:</w:t>
      </w:r>
      <w:r w:rsidR="00D26E93">
        <w:rPr>
          <w:b/>
          <w:i/>
        </w:rPr>
        <w:t xml:space="preserve"> цена договора</w:t>
      </w:r>
      <w:r w:rsidR="00E53CD9">
        <w:rPr>
          <w:b/>
          <w:i/>
        </w:rPr>
        <w:t xml:space="preserve"> </w:t>
      </w:r>
      <w:r w:rsidR="00D26E93" w:rsidRPr="00E32501">
        <w:rPr>
          <w:b/>
          <w:i/>
        </w:rPr>
        <w:t xml:space="preserve">– </w:t>
      </w:r>
      <w:r w:rsidR="00B2206B">
        <w:rPr>
          <w:b/>
          <w:i/>
        </w:rPr>
        <w:t>180 000</w:t>
      </w:r>
      <w:r w:rsidR="00D26E93" w:rsidRPr="00D46D8A">
        <w:rPr>
          <w:b/>
          <w:i/>
        </w:rPr>
        <w:t xml:space="preserve"> (</w:t>
      </w:r>
      <w:r w:rsidR="00B2206B">
        <w:rPr>
          <w:b/>
          <w:i/>
        </w:rPr>
        <w:t>сто восемьдесят тысяч</w:t>
      </w:r>
      <w:r w:rsidR="00D26E93">
        <w:rPr>
          <w:b/>
          <w:i/>
        </w:rPr>
        <w:t>) рублей 00 копеек</w:t>
      </w:r>
      <w:r w:rsidR="00CF25AF">
        <w:rPr>
          <w:b/>
          <w:i/>
        </w:rPr>
        <w:t xml:space="preserve"> с учетом НДС (18%), иные условия </w:t>
      </w:r>
      <w:r w:rsidR="00CF25AF" w:rsidRPr="00CF25AF">
        <w:rPr>
          <w:b/>
          <w:i/>
        </w:rPr>
        <w:t xml:space="preserve">договора </w:t>
      </w:r>
      <w:r w:rsidR="00CF25AF">
        <w:rPr>
          <w:b/>
          <w:i/>
        </w:rPr>
        <w:t>оказания услуг</w:t>
      </w:r>
      <w:r w:rsidR="00CF25AF" w:rsidRPr="00CF25AF">
        <w:rPr>
          <w:b/>
          <w:i/>
        </w:rPr>
        <w:t xml:space="preserve"> указаны в </w:t>
      </w:r>
      <w:r w:rsidR="00CF25AF">
        <w:rPr>
          <w:b/>
          <w:i/>
        </w:rPr>
        <w:t>конкурсной документации о проведении открытого конкурса (реестровый номер</w:t>
      </w:r>
      <w:proofErr w:type="gramEnd"/>
      <w:r w:rsidR="00CF25AF">
        <w:rPr>
          <w:b/>
          <w:i/>
        </w:rPr>
        <w:t xml:space="preserve"> </w:t>
      </w:r>
      <w:r w:rsidR="00CF25AF" w:rsidRPr="00CF25AF">
        <w:rPr>
          <w:b/>
          <w:i/>
        </w:rPr>
        <w:t>4-2016</w:t>
      </w:r>
      <w:r w:rsidR="00CF25AF">
        <w:rPr>
          <w:b/>
          <w:i/>
        </w:rPr>
        <w:t>)</w:t>
      </w:r>
      <w:r w:rsidR="00D26E93">
        <w:rPr>
          <w:b/>
          <w:i/>
        </w:rPr>
        <w:t>.</w:t>
      </w:r>
    </w:p>
    <w:p w:rsidR="00E364FE" w:rsidRPr="00EC5E1A" w:rsidRDefault="00CF25AF" w:rsidP="00EC5E1A">
      <w:pPr>
        <w:spacing w:before="40" w:after="40"/>
        <w:jc w:val="both"/>
        <w:rPr>
          <w:b/>
        </w:rPr>
      </w:pPr>
      <w:r>
        <w:rPr>
          <w:b/>
        </w:rPr>
        <w:t xml:space="preserve"> </w:t>
      </w:r>
    </w:p>
    <w:p w:rsidR="00EC5E1A" w:rsidRPr="00EC5E1A" w:rsidRDefault="00EC5E1A" w:rsidP="00EC5E1A">
      <w:pPr>
        <w:spacing w:before="40" w:after="40"/>
        <w:jc w:val="both"/>
        <w:rPr>
          <w:b/>
        </w:rPr>
      </w:pPr>
      <w:r w:rsidRPr="00EC5E1A">
        <w:rPr>
          <w:b/>
        </w:rPr>
        <w:t>Протокол составлен в двух идентичных экземплярах.</w:t>
      </w:r>
    </w:p>
    <w:p w:rsidR="00EC5E1A" w:rsidRPr="00EC5E1A" w:rsidRDefault="00EC5E1A" w:rsidP="00EC5E1A">
      <w:pPr>
        <w:autoSpaceDE w:val="0"/>
        <w:autoSpaceDN w:val="0"/>
        <w:adjustRightInd w:val="0"/>
        <w:spacing w:before="40" w:after="40"/>
        <w:rPr>
          <w:b/>
        </w:rPr>
      </w:pPr>
      <w:r w:rsidRPr="00EC5E1A">
        <w:rPr>
          <w:b/>
        </w:rPr>
        <w:t xml:space="preserve">Дата составления протокола: </w:t>
      </w:r>
      <w:r w:rsidR="00EF5926">
        <w:rPr>
          <w:b/>
        </w:rPr>
        <w:t>06 июня 2016</w:t>
      </w:r>
      <w:r w:rsidRPr="00EC5E1A">
        <w:rPr>
          <w:b/>
        </w:rPr>
        <w:t xml:space="preserve"> года.</w:t>
      </w:r>
    </w:p>
    <w:p w:rsidR="00EC5E1A" w:rsidRPr="00EC5E1A" w:rsidRDefault="00EC5E1A" w:rsidP="00EC5E1A">
      <w:pPr>
        <w:autoSpaceDE w:val="0"/>
        <w:autoSpaceDN w:val="0"/>
        <w:adjustRightInd w:val="0"/>
        <w:spacing w:before="40" w:after="40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26"/>
        <w:gridCol w:w="3037"/>
        <w:gridCol w:w="3668"/>
      </w:tblGrid>
      <w:tr w:rsidR="00EC5E1A" w:rsidRPr="00EC5E1A" w:rsidTr="00CF25AF">
        <w:tc>
          <w:tcPr>
            <w:tcW w:w="3326" w:type="dxa"/>
          </w:tcPr>
          <w:p w:rsidR="00EC5E1A" w:rsidRPr="00EC5E1A" w:rsidRDefault="00EC5E1A" w:rsidP="00EC5E1A">
            <w:pPr>
              <w:spacing w:before="40" w:after="40"/>
              <w:rPr>
                <w:b/>
                <w:i/>
              </w:rPr>
            </w:pPr>
            <w:r w:rsidRPr="00EC5E1A">
              <w:rPr>
                <w:b/>
                <w:i/>
              </w:rPr>
              <w:t>Председатель Единой Комиссии</w:t>
            </w:r>
          </w:p>
          <w:p w:rsidR="00EC5E1A" w:rsidRPr="00563C27" w:rsidRDefault="00563C27" w:rsidP="00EC5E1A">
            <w:pPr>
              <w:spacing w:before="40" w:after="40"/>
              <w:rPr>
                <w:b/>
                <w:i/>
              </w:rPr>
            </w:pPr>
            <w:r w:rsidRPr="00563C27">
              <w:rPr>
                <w:b/>
                <w:i/>
              </w:rPr>
              <w:t>Заместитель председателя</w:t>
            </w:r>
          </w:p>
          <w:p w:rsidR="00563C27" w:rsidRPr="00EC5E1A" w:rsidRDefault="00563C27" w:rsidP="00EC5E1A">
            <w:pPr>
              <w:spacing w:before="40" w:after="40"/>
            </w:pPr>
            <w:r w:rsidRPr="00563C27">
              <w:rPr>
                <w:b/>
                <w:i/>
              </w:rPr>
              <w:t>Единой комиссии</w:t>
            </w:r>
            <w:r>
              <w:t xml:space="preserve"> </w:t>
            </w:r>
          </w:p>
        </w:tc>
        <w:tc>
          <w:tcPr>
            <w:tcW w:w="3037" w:type="dxa"/>
            <w:hideMark/>
          </w:tcPr>
          <w:p w:rsidR="00EC5E1A" w:rsidRPr="00EC5E1A" w:rsidRDefault="00EC5E1A" w:rsidP="00EC5E1A">
            <w:pPr>
              <w:spacing w:before="40" w:after="40"/>
            </w:pPr>
          </w:p>
          <w:p w:rsidR="00EC5E1A" w:rsidRPr="00EC5E1A" w:rsidRDefault="00A72038" w:rsidP="00EC5E1A">
            <w:pPr>
              <w:spacing w:before="40" w:after="40"/>
            </w:pPr>
            <w:r>
              <w:t xml:space="preserve">С.Ю. </w:t>
            </w:r>
            <w:proofErr w:type="spellStart"/>
            <w:r>
              <w:t>Цускман</w:t>
            </w:r>
            <w:proofErr w:type="spellEnd"/>
          </w:p>
          <w:p w:rsidR="00EC5E1A" w:rsidRPr="00EC5E1A" w:rsidRDefault="00EC5E1A" w:rsidP="00EC5E1A">
            <w:pPr>
              <w:spacing w:before="40" w:after="40"/>
            </w:pPr>
          </w:p>
        </w:tc>
        <w:tc>
          <w:tcPr>
            <w:tcW w:w="3668" w:type="dxa"/>
          </w:tcPr>
          <w:p w:rsidR="00EC5E1A" w:rsidRPr="00EC5E1A" w:rsidRDefault="00EC5E1A" w:rsidP="00EC5E1A">
            <w:pPr>
              <w:spacing w:before="40" w:after="40"/>
            </w:pPr>
          </w:p>
          <w:p w:rsidR="00EC5E1A" w:rsidRPr="00EC5E1A" w:rsidRDefault="00EC5E1A" w:rsidP="00EC5E1A">
            <w:pPr>
              <w:spacing w:before="40" w:after="40"/>
            </w:pPr>
            <w:r w:rsidRPr="00EC5E1A">
              <w:t>________________________</w:t>
            </w:r>
          </w:p>
          <w:p w:rsidR="00EC5E1A" w:rsidRPr="00EC5E1A" w:rsidRDefault="00EC5E1A" w:rsidP="00EC5E1A">
            <w:pPr>
              <w:spacing w:before="40" w:after="40"/>
            </w:pPr>
          </w:p>
        </w:tc>
      </w:tr>
      <w:tr w:rsidR="00EC5E1A" w:rsidRPr="00EC5E1A" w:rsidTr="00CF25AF">
        <w:tc>
          <w:tcPr>
            <w:tcW w:w="3326" w:type="dxa"/>
          </w:tcPr>
          <w:p w:rsidR="00563C27" w:rsidRDefault="00563C27" w:rsidP="00EC5E1A">
            <w:pPr>
              <w:spacing w:before="40" w:after="40"/>
              <w:rPr>
                <w:b/>
                <w:i/>
              </w:rPr>
            </w:pPr>
          </w:p>
          <w:p w:rsidR="00EC5E1A" w:rsidRPr="00EC5E1A" w:rsidRDefault="00EC5E1A" w:rsidP="00001721">
            <w:pPr>
              <w:spacing w:before="40" w:after="40"/>
              <w:rPr>
                <w:b/>
                <w:i/>
              </w:rPr>
            </w:pPr>
            <w:r w:rsidRPr="00EC5E1A">
              <w:rPr>
                <w:b/>
                <w:i/>
              </w:rPr>
              <w:t>Члены Единой комиссии:</w:t>
            </w:r>
          </w:p>
        </w:tc>
        <w:tc>
          <w:tcPr>
            <w:tcW w:w="3037" w:type="dxa"/>
          </w:tcPr>
          <w:p w:rsidR="00EC5E1A" w:rsidRPr="00EC5E1A" w:rsidRDefault="00A87420" w:rsidP="00A87420">
            <w:pPr>
              <w:spacing w:before="40" w:after="40"/>
            </w:pPr>
            <w:r>
              <w:t>Е.В.</w:t>
            </w:r>
            <w:r>
              <w:t xml:space="preserve"> </w:t>
            </w:r>
            <w:r w:rsidRPr="00C83DB2">
              <w:t>Мищенко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3668" w:type="dxa"/>
          </w:tcPr>
          <w:p w:rsidR="00EC5E1A" w:rsidRPr="00EC5E1A" w:rsidRDefault="00EC5E1A" w:rsidP="00EC5E1A">
            <w:pPr>
              <w:spacing w:before="40" w:after="40"/>
            </w:pPr>
            <w:r w:rsidRPr="00EC5E1A">
              <w:t>________________________</w:t>
            </w:r>
          </w:p>
        </w:tc>
      </w:tr>
      <w:tr w:rsidR="00EC5E1A" w:rsidRPr="00EC5E1A" w:rsidTr="00CF25AF">
        <w:tc>
          <w:tcPr>
            <w:tcW w:w="3326" w:type="dxa"/>
          </w:tcPr>
          <w:p w:rsidR="00EC5E1A" w:rsidRPr="00EC5E1A" w:rsidRDefault="00EC5E1A" w:rsidP="00EC5E1A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3037" w:type="dxa"/>
          </w:tcPr>
          <w:p w:rsidR="00EC5E1A" w:rsidRPr="00EC5E1A" w:rsidRDefault="00A72038" w:rsidP="008461A6">
            <w:pPr>
              <w:spacing w:before="40" w:after="40"/>
            </w:pPr>
            <w:r>
              <w:t>Л.В. Щелконогова</w:t>
            </w:r>
          </w:p>
        </w:tc>
        <w:tc>
          <w:tcPr>
            <w:tcW w:w="3668" w:type="dxa"/>
          </w:tcPr>
          <w:p w:rsidR="00EC5E1A" w:rsidRPr="00EC5E1A" w:rsidRDefault="00EC5E1A" w:rsidP="00EC5E1A">
            <w:pPr>
              <w:spacing w:before="40" w:after="40"/>
            </w:pPr>
            <w:r w:rsidRPr="00EC5E1A">
              <w:t>________________________</w:t>
            </w:r>
          </w:p>
          <w:p w:rsidR="00EC5E1A" w:rsidRPr="00EC5E1A" w:rsidRDefault="00EC5E1A" w:rsidP="00EC5E1A">
            <w:pPr>
              <w:spacing w:before="40" w:after="40"/>
            </w:pPr>
          </w:p>
        </w:tc>
      </w:tr>
      <w:tr w:rsidR="00001721" w:rsidRPr="00EC5E1A" w:rsidTr="00CF25AF">
        <w:tc>
          <w:tcPr>
            <w:tcW w:w="3326" w:type="dxa"/>
          </w:tcPr>
          <w:p w:rsidR="00001721" w:rsidRDefault="00001721" w:rsidP="00EC5E1A">
            <w:pPr>
              <w:spacing w:before="40" w:after="40"/>
              <w:rPr>
                <w:b/>
                <w:i/>
              </w:rPr>
            </w:pPr>
          </w:p>
          <w:p w:rsidR="00001721" w:rsidRDefault="00001721" w:rsidP="00EC5E1A">
            <w:pPr>
              <w:spacing w:before="40" w:after="40"/>
              <w:rPr>
                <w:b/>
                <w:i/>
              </w:rPr>
            </w:pPr>
          </w:p>
          <w:p w:rsidR="00001721" w:rsidRPr="00EC5E1A" w:rsidRDefault="00001721" w:rsidP="00EC5E1A">
            <w:pPr>
              <w:spacing w:before="40" w:after="40"/>
              <w:rPr>
                <w:b/>
                <w:i/>
              </w:rPr>
            </w:pPr>
            <w:r w:rsidRPr="00EC5E1A">
              <w:rPr>
                <w:b/>
                <w:i/>
              </w:rPr>
              <w:t>Секретарь:</w:t>
            </w:r>
          </w:p>
        </w:tc>
        <w:tc>
          <w:tcPr>
            <w:tcW w:w="3037" w:type="dxa"/>
          </w:tcPr>
          <w:p w:rsidR="00001721" w:rsidRDefault="00001721" w:rsidP="00C61C3B">
            <w:pPr>
              <w:spacing w:before="40" w:after="40"/>
            </w:pPr>
            <w:r>
              <w:t>А.Г. Червяков</w:t>
            </w:r>
          </w:p>
          <w:p w:rsidR="00001721" w:rsidRDefault="00001721" w:rsidP="00001721"/>
          <w:p w:rsidR="00001721" w:rsidRDefault="00001721" w:rsidP="00001721"/>
          <w:p w:rsidR="00001721" w:rsidRPr="00001721" w:rsidRDefault="00001721" w:rsidP="00001721">
            <w:r>
              <w:t>А.А. Пятахин</w:t>
            </w:r>
          </w:p>
        </w:tc>
        <w:tc>
          <w:tcPr>
            <w:tcW w:w="3668" w:type="dxa"/>
          </w:tcPr>
          <w:p w:rsidR="00001721" w:rsidRPr="00EC5E1A" w:rsidRDefault="00001721" w:rsidP="00C61C3B">
            <w:pPr>
              <w:spacing w:before="40" w:after="40"/>
            </w:pPr>
            <w:r w:rsidRPr="00EC5E1A">
              <w:t>________________________</w:t>
            </w:r>
          </w:p>
          <w:p w:rsidR="00001721" w:rsidRDefault="00001721" w:rsidP="00C61C3B">
            <w:pPr>
              <w:spacing w:before="40" w:after="40"/>
            </w:pPr>
          </w:p>
          <w:p w:rsidR="00CF25AF" w:rsidRDefault="00CF25AF" w:rsidP="00001721"/>
          <w:p w:rsidR="00001721" w:rsidRPr="00001721" w:rsidRDefault="00CF25AF" w:rsidP="00001721">
            <w:r>
              <w:t>________________________</w:t>
            </w:r>
          </w:p>
        </w:tc>
      </w:tr>
    </w:tbl>
    <w:p w:rsidR="00EC5E1A" w:rsidRPr="00EC5E1A" w:rsidRDefault="00EC5E1A" w:rsidP="00001721">
      <w:pPr>
        <w:tabs>
          <w:tab w:val="left" w:pos="0"/>
          <w:tab w:val="left" w:pos="3460"/>
        </w:tabs>
        <w:spacing w:before="40" w:after="40"/>
        <w:jc w:val="both"/>
        <w:outlineLvl w:val="0"/>
        <w:rPr>
          <w:sz w:val="22"/>
          <w:szCs w:val="22"/>
        </w:rPr>
      </w:pPr>
    </w:p>
    <w:sectPr w:rsidR="00EC5E1A" w:rsidRPr="00EC5E1A" w:rsidSect="008461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26" w:rsidRDefault="00D63326" w:rsidP="005F2947">
      <w:r>
        <w:separator/>
      </w:r>
    </w:p>
  </w:endnote>
  <w:endnote w:type="continuationSeparator" w:id="0">
    <w:p w:rsidR="00D63326" w:rsidRDefault="00D63326" w:rsidP="005F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26" w:rsidRDefault="00D63326" w:rsidP="005F2947">
      <w:r>
        <w:separator/>
      </w:r>
    </w:p>
  </w:footnote>
  <w:footnote w:type="continuationSeparator" w:id="0">
    <w:p w:rsidR="00D63326" w:rsidRDefault="00D63326" w:rsidP="005F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09"/>
    <w:rsid w:val="00001721"/>
    <w:rsid w:val="00006E74"/>
    <w:rsid w:val="0001117B"/>
    <w:rsid w:val="00015727"/>
    <w:rsid w:val="0002625A"/>
    <w:rsid w:val="000771C7"/>
    <w:rsid w:val="00083041"/>
    <w:rsid w:val="0008410C"/>
    <w:rsid w:val="000B0625"/>
    <w:rsid w:val="000B6F83"/>
    <w:rsid w:val="000C35B2"/>
    <w:rsid w:val="000C4E87"/>
    <w:rsid w:val="000D3AD4"/>
    <w:rsid w:val="000E2737"/>
    <w:rsid w:val="000F2B14"/>
    <w:rsid w:val="001057DF"/>
    <w:rsid w:val="00113309"/>
    <w:rsid w:val="00121554"/>
    <w:rsid w:val="00157E4B"/>
    <w:rsid w:val="00165776"/>
    <w:rsid w:val="0017052D"/>
    <w:rsid w:val="00195E51"/>
    <w:rsid w:val="001966FF"/>
    <w:rsid w:val="001A1841"/>
    <w:rsid w:val="001B237C"/>
    <w:rsid w:val="001B3598"/>
    <w:rsid w:val="001F0AEE"/>
    <w:rsid w:val="001F3E5E"/>
    <w:rsid w:val="001F4E33"/>
    <w:rsid w:val="00252F34"/>
    <w:rsid w:val="002608DE"/>
    <w:rsid w:val="00276570"/>
    <w:rsid w:val="002A44AB"/>
    <w:rsid w:val="002B0A35"/>
    <w:rsid w:val="002B39CC"/>
    <w:rsid w:val="002C3E86"/>
    <w:rsid w:val="002C4AB2"/>
    <w:rsid w:val="002E5344"/>
    <w:rsid w:val="002F2A77"/>
    <w:rsid w:val="00303F89"/>
    <w:rsid w:val="00315298"/>
    <w:rsid w:val="00322559"/>
    <w:rsid w:val="00336C8E"/>
    <w:rsid w:val="00340E04"/>
    <w:rsid w:val="00347A65"/>
    <w:rsid w:val="00351FA1"/>
    <w:rsid w:val="003625B1"/>
    <w:rsid w:val="00381953"/>
    <w:rsid w:val="003A2EBE"/>
    <w:rsid w:val="003D557E"/>
    <w:rsid w:val="003E35FD"/>
    <w:rsid w:val="003E49CB"/>
    <w:rsid w:val="00452578"/>
    <w:rsid w:val="0047337C"/>
    <w:rsid w:val="004A0B6C"/>
    <w:rsid w:val="004B0A3C"/>
    <w:rsid w:val="004B6E64"/>
    <w:rsid w:val="004F6097"/>
    <w:rsid w:val="0050447E"/>
    <w:rsid w:val="005057B4"/>
    <w:rsid w:val="005428C7"/>
    <w:rsid w:val="00557D4E"/>
    <w:rsid w:val="005601FB"/>
    <w:rsid w:val="00563C27"/>
    <w:rsid w:val="005858F4"/>
    <w:rsid w:val="005878BD"/>
    <w:rsid w:val="0059104D"/>
    <w:rsid w:val="005A0E11"/>
    <w:rsid w:val="005A7575"/>
    <w:rsid w:val="005B1428"/>
    <w:rsid w:val="005F2947"/>
    <w:rsid w:val="00606F15"/>
    <w:rsid w:val="00607463"/>
    <w:rsid w:val="0063551C"/>
    <w:rsid w:val="00643526"/>
    <w:rsid w:val="006438A0"/>
    <w:rsid w:val="00646645"/>
    <w:rsid w:val="00676388"/>
    <w:rsid w:val="00680F5B"/>
    <w:rsid w:val="006970BE"/>
    <w:rsid w:val="006A4C6D"/>
    <w:rsid w:val="006B3613"/>
    <w:rsid w:val="006E564D"/>
    <w:rsid w:val="00720C6D"/>
    <w:rsid w:val="00772D9C"/>
    <w:rsid w:val="007813F3"/>
    <w:rsid w:val="00792B65"/>
    <w:rsid w:val="00797D5E"/>
    <w:rsid w:val="007A5071"/>
    <w:rsid w:val="007A69E4"/>
    <w:rsid w:val="007B387B"/>
    <w:rsid w:val="007B485B"/>
    <w:rsid w:val="007B5E3A"/>
    <w:rsid w:val="007D0C28"/>
    <w:rsid w:val="007D664A"/>
    <w:rsid w:val="007F3A9B"/>
    <w:rsid w:val="007F51AF"/>
    <w:rsid w:val="00812CF4"/>
    <w:rsid w:val="008461A6"/>
    <w:rsid w:val="0085495A"/>
    <w:rsid w:val="00874480"/>
    <w:rsid w:val="00877E2E"/>
    <w:rsid w:val="008C67A0"/>
    <w:rsid w:val="009167BA"/>
    <w:rsid w:val="00920C6A"/>
    <w:rsid w:val="00983FA6"/>
    <w:rsid w:val="00987A71"/>
    <w:rsid w:val="009B1524"/>
    <w:rsid w:val="009B25C2"/>
    <w:rsid w:val="009F0434"/>
    <w:rsid w:val="009F0860"/>
    <w:rsid w:val="00A161D2"/>
    <w:rsid w:val="00A627CB"/>
    <w:rsid w:val="00A65826"/>
    <w:rsid w:val="00A72038"/>
    <w:rsid w:val="00A73494"/>
    <w:rsid w:val="00A87420"/>
    <w:rsid w:val="00AA48DF"/>
    <w:rsid w:val="00AC4C32"/>
    <w:rsid w:val="00AF1184"/>
    <w:rsid w:val="00AF3F40"/>
    <w:rsid w:val="00B03499"/>
    <w:rsid w:val="00B07512"/>
    <w:rsid w:val="00B11755"/>
    <w:rsid w:val="00B173A2"/>
    <w:rsid w:val="00B2206B"/>
    <w:rsid w:val="00B429D8"/>
    <w:rsid w:val="00B43491"/>
    <w:rsid w:val="00BA3AC2"/>
    <w:rsid w:val="00BA79AA"/>
    <w:rsid w:val="00BE0F50"/>
    <w:rsid w:val="00BE2373"/>
    <w:rsid w:val="00BF6C0F"/>
    <w:rsid w:val="00C20021"/>
    <w:rsid w:val="00C22A1A"/>
    <w:rsid w:val="00C24C9B"/>
    <w:rsid w:val="00C31921"/>
    <w:rsid w:val="00C51DF1"/>
    <w:rsid w:val="00C61C3B"/>
    <w:rsid w:val="00C659FC"/>
    <w:rsid w:val="00C7648C"/>
    <w:rsid w:val="00C801B9"/>
    <w:rsid w:val="00C81DAA"/>
    <w:rsid w:val="00C83DB2"/>
    <w:rsid w:val="00C9034F"/>
    <w:rsid w:val="00CB6ECF"/>
    <w:rsid w:val="00CF25AF"/>
    <w:rsid w:val="00D04839"/>
    <w:rsid w:val="00D26E93"/>
    <w:rsid w:val="00D323E7"/>
    <w:rsid w:val="00D436DF"/>
    <w:rsid w:val="00D55B57"/>
    <w:rsid w:val="00D63326"/>
    <w:rsid w:val="00DA06F5"/>
    <w:rsid w:val="00DA5BB3"/>
    <w:rsid w:val="00DB0D36"/>
    <w:rsid w:val="00DC194C"/>
    <w:rsid w:val="00DC1DBA"/>
    <w:rsid w:val="00DD659C"/>
    <w:rsid w:val="00DD6819"/>
    <w:rsid w:val="00E15820"/>
    <w:rsid w:val="00E17B7E"/>
    <w:rsid w:val="00E364FE"/>
    <w:rsid w:val="00E37130"/>
    <w:rsid w:val="00E464C5"/>
    <w:rsid w:val="00E505E3"/>
    <w:rsid w:val="00E53CD9"/>
    <w:rsid w:val="00E5448F"/>
    <w:rsid w:val="00E576CD"/>
    <w:rsid w:val="00E6053B"/>
    <w:rsid w:val="00E72294"/>
    <w:rsid w:val="00EC0EF8"/>
    <w:rsid w:val="00EC5E1A"/>
    <w:rsid w:val="00EC718E"/>
    <w:rsid w:val="00EF5926"/>
    <w:rsid w:val="00F0026C"/>
    <w:rsid w:val="00F20A94"/>
    <w:rsid w:val="00F27BF6"/>
    <w:rsid w:val="00F55FAD"/>
    <w:rsid w:val="00F755A5"/>
    <w:rsid w:val="00F84ED6"/>
    <w:rsid w:val="00FD388A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6ECF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B6EC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5F2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2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F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20C6A"/>
    <w:pPr>
      <w:ind w:left="708"/>
    </w:pPr>
    <w:rPr>
      <w:lang w:val="x-none"/>
    </w:rPr>
  </w:style>
  <w:style w:type="character" w:customStyle="1" w:styleId="a8">
    <w:name w:val="Абзац списка Знак"/>
    <w:link w:val="a7"/>
    <w:uiPriority w:val="34"/>
    <w:locked/>
    <w:rsid w:val="00920C6A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9">
    <w:name w:val="Таблица текст"/>
    <w:basedOn w:val="a"/>
    <w:rsid w:val="00920C6A"/>
    <w:pPr>
      <w:spacing w:before="40" w:after="40"/>
      <w:ind w:left="57" w:right="57"/>
    </w:pPr>
    <w:rPr>
      <w:snapToGrid w:val="0"/>
      <w:szCs w:val="20"/>
    </w:rPr>
  </w:style>
  <w:style w:type="character" w:customStyle="1" w:styleId="spanbodytext21">
    <w:name w:val="span_body_text_21"/>
    <w:rsid w:val="00E17B7E"/>
    <w:rPr>
      <w:sz w:val="20"/>
      <w:szCs w:val="20"/>
    </w:rPr>
  </w:style>
  <w:style w:type="table" w:styleId="aa">
    <w:name w:val="Table Grid"/>
    <w:basedOn w:val="a1"/>
    <w:uiPriority w:val="59"/>
    <w:rsid w:val="00DA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6ECF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B6EC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5F2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2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F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20C6A"/>
    <w:pPr>
      <w:ind w:left="708"/>
    </w:pPr>
    <w:rPr>
      <w:lang w:val="x-none"/>
    </w:rPr>
  </w:style>
  <w:style w:type="character" w:customStyle="1" w:styleId="a8">
    <w:name w:val="Абзац списка Знак"/>
    <w:link w:val="a7"/>
    <w:uiPriority w:val="34"/>
    <w:locked/>
    <w:rsid w:val="00920C6A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9">
    <w:name w:val="Таблица текст"/>
    <w:basedOn w:val="a"/>
    <w:rsid w:val="00920C6A"/>
    <w:pPr>
      <w:spacing w:before="40" w:after="40"/>
      <w:ind w:left="57" w:right="57"/>
    </w:pPr>
    <w:rPr>
      <w:snapToGrid w:val="0"/>
      <w:szCs w:val="20"/>
    </w:rPr>
  </w:style>
  <w:style w:type="character" w:customStyle="1" w:styleId="spanbodytext21">
    <w:name w:val="span_body_text_21"/>
    <w:rsid w:val="00E17B7E"/>
    <w:rPr>
      <w:sz w:val="20"/>
      <w:szCs w:val="20"/>
    </w:rPr>
  </w:style>
  <w:style w:type="table" w:styleId="aa">
    <w:name w:val="Table Grid"/>
    <w:basedOn w:val="a1"/>
    <w:uiPriority w:val="59"/>
    <w:rsid w:val="00DA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0639-3206-4F40-A23A-A8C9D03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854</Words>
  <Characters>5765</Characters>
  <Application>Microsoft Office Word</Application>
  <DocSecurity>0</DocSecurity>
  <Lines>320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Мотова Елена Евгеньевна</dc:creator>
  <cp:lastModifiedBy>admin</cp:lastModifiedBy>
  <cp:revision>9</cp:revision>
  <dcterms:created xsi:type="dcterms:W3CDTF">2016-06-10T13:52:00Z</dcterms:created>
  <dcterms:modified xsi:type="dcterms:W3CDTF">2016-06-14T12:47:00Z</dcterms:modified>
</cp:coreProperties>
</file>